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76D9" w:rsidRDefault="006976D9" w:rsidP="006976D9">
      <w:pPr>
        <w:spacing w:line="282" w:lineRule="auto"/>
        <w:ind w:right="560"/>
        <w:rPr>
          <w:color w:val="AD0101"/>
          <w:sz w:val="56"/>
        </w:rPr>
      </w:pPr>
      <w:bookmarkStart w:id="0" w:name="_GoBack"/>
      <w:bookmarkEnd w:id="0"/>
    </w:p>
    <w:p w:rsidR="00171B0B" w:rsidRDefault="00171B0B" w:rsidP="006976D9">
      <w:pPr>
        <w:spacing w:line="282" w:lineRule="auto"/>
        <w:ind w:right="560"/>
        <w:rPr>
          <w:color w:val="AD0101"/>
          <w:sz w:val="56"/>
        </w:rPr>
      </w:pPr>
    </w:p>
    <w:p w:rsidR="006976D9" w:rsidRDefault="00171B0B" w:rsidP="00171B0B">
      <w:pPr>
        <w:spacing w:line="282" w:lineRule="auto"/>
        <w:ind w:left="1440" w:right="560" w:firstLine="1061"/>
        <w:rPr>
          <w:color w:val="AD0101"/>
          <w:sz w:val="56"/>
        </w:rPr>
      </w:pPr>
      <w:r>
        <w:rPr>
          <w:noProof/>
          <w:sz w:val="24"/>
          <w:szCs w:val="24"/>
        </w:rPr>
        <w:t xml:space="preserve">    </w:t>
      </w:r>
      <w:r w:rsidR="00BF7BDA" w:rsidRPr="006976D9">
        <w:rPr>
          <w:noProof/>
          <w:sz w:val="24"/>
          <w:szCs w:val="24"/>
          <w:lang w:val="en-CA" w:eastAsia="en-CA"/>
        </w:rPr>
        <w:drawing>
          <wp:inline distT="0" distB="0" distL="0" distR="0">
            <wp:extent cx="2171700" cy="1885950"/>
            <wp:effectExtent l="0" t="0" r="0" b="0"/>
            <wp:docPr id="1" name="Image 1" descr="C:\Documents and Settings\MAMA.MAMA-7670A52B98\Bureau\logologc\LOGOS SINEPH\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MAMA.MAMA-7670A52B98\Bureau\logologc\LOGOS SINEPH\image244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885950"/>
                    </a:xfrm>
                    <a:prstGeom prst="rect">
                      <a:avLst/>
                    </a:prstGeom>
                    <a:noFill/>
                    <a:ln>
                      <a:noFill/>
                    </a:ln>
                  </pic:spPr>
                </pic:pic>
              </a:graphicData>
            </a:graphic>
          </wp:inline>
        </w:drawing>
      </w:r>
    </w:p>
    <w:p w:rsidR="006976D9" w:rsidRDefault="006976D9">
      <w:pPr>
        <w:spacing w:line="282" w:lineRule="auto"/>
        <w:ind w:left="1440" w:right="560" w:firstLine="1061"/>
        <w:rPr>
          <w:color w:val="AD0101"/>
          <w:sz w:val="56"/>
        </w:rPr>
      </w:pPr>
    </w:p>
    <w:p w:rsidR="006976D9" w:rsidRDefault="006976D9" w:rsidP="006976D9">
      <w:pPr>
        <w:spacing w:line="282" w:lineRule="auto"/>
        <w:ind w:right="560"/>
        <w:jc w:val="center"/>
        <w:rPr>
          <w:b/>
          <w:color w:val="AD0101"/>
          <w:sz w:val="72"/>
          <w:szCs w:val="72"/>
        </w:rPr>
      </w:pPr>
      <w:r w:rsidRPr="006976D9">
        <w:rPr>
          <w:b/>
          <w:color w:val="AD0101"/>
          <w:sz w:val="72"/>
          <w:szCs w:val="72"/>
        </w:rPr>
        <w:t>REGISTRE REIN</w:t>
      </w:r>
    </w:p>
    <w:p w:rsidR="006976D9" w:rsidRPr="006976D9" w:rsidRDefault="006976D9" w:rsidP="006976D9">
      <w:pPr>
        <w:spacing w:line="282" w:lineRule="auto"/>
        <w:ind w:right="560"/>
        <w:jc w:val="center"/>
        <w:rPr>
          <w:b/>
          <w:color w:val="AD0101"/>
          <w:sz w:val="72"/>
          <w:szCs w:val="72"/>
        </w:rPr>
      </w:pPr>
      <w:r w:rsidRPr="006976D9">
        <w:rPr>
          <w:b/>
          <w:color w:val="AD0101"/>
          <w:sz w:val="72"/>
          <w:szCs w:val="72"/>
        </w:rPr>
        <w:t>DE CÔTE D’IVOIRE</w:t>
      </w:r>
    </w:p>
    <w:p w:rsidR="006976D9" w:rsidRPr="006976D9" w:rsidRDefault="00171B0B" w:rsidP="00171B0B">
      <w:pPr>
        <w:spacing w:line="282" w:lineRule="auto"/>
        <w:ind w:left="1440" w:right="560"/>
        <w:rPr>
          <w:b/>
          <w:color w:val="AD0101"/>
          <w:sz w:val="72"/>
          <w:szCs w:val="72"/>
        </w:rPr>
      </w:pPr>
      <w:r>
        <w:rPr>
          <w:b/>
          <w:color w:val="AD0101"/>
          <w:sz w:val="72"/>
          <w:szCs w:val="72"/>
        </w:rPr>
        <w:t xml:space="preserve">             </w:t>
      </w:r>
      <w:r w:rsidR="006976D9" w:rsidRPr="006976D9">
        <w:rPr>
          <w:b/>
          <w:color w:val="AD0101"/>
          <w:sz w:val="72"/>
          <w:szCs w:val="72"/>
        </w:rPr>
        <w:t>(2RCI)</w:t>
      </w:r>
    </w:p>
    <w:p w:rsidR="006976D9" w:rsidRDefault="006976D9" w:rsidP="006976D9">
      <w:pPr>
        <w:spacing w:line="282" w:lineRule="auto"/>
        <w:ind w:right="560"/>
        <w:jc w:val="center"/>
        <w:rPr>
          <w:b/>
          <w:color w:val="AD0101"/>
          <w:sz w:val="72"/>
          <w:szCs w:val="72"/>
        </w:rPr>
      </w:pPr>
      <w:r w:rsidRPr="006976D9">
        <w:rPr>
          <w:b/>
          <w:color w:val="AD0101"/>
          <w:sz w:val="72"/>
          <w:szCs w:val="72"/>
        </w:rPr>
        <w:t>GUIDE DE REMPLISSAGE</w:t>
      </w:r>
    </w:p>
    <w:p w:rsidR="00DB0A7B" w:rsidRDefault="00DB0A7B" w:rsidP="006976D9">
      <w:pPr>
        <w:spacing w:line="282" w:lineRule="auto"/>
        <w:ind w:right="560"/>
        <w:jc w:val="center"/>
        <w:rPr>
          <w:b/>
          <w:color w:val="AD0101"/>
          <w:sz w:val="72"/>
          <w:szCs w:val="72"/>
        </w:rPr>
      </w:pPr>
    </w:p>
    <w:p w:rsidR="00DB0A7B" w:rsidRDefault="00DB0A7B" w:rsidP="00DB0A7B">
      <w:pPr>
        <w:spacing w:line="282" w:lineRule="auto"/>
        <w:ind w:right="560"/>
        <w:rPr>
          <w:b/>
          <w:color w:val="AD0101"/>
          <w:sz w:val="40"/>
          <w:szCs w:val="40"/>
        </w:rPr>
      </w:pPr>
      <w:r w:rsidRPr="00DB0A7B">
        <w:rPr>
          <w:b/>
          <w:color w:val="AD0101"/>
          <w:sz w:val="40"/>
          <w:szCs w:val="40"/>
        </w:rPr>
        <w:t>CONTACTS :</w:t>
      </w:r>
      <w:r>
        <w:rPr>
          <w:b/>
          <w:color w:val="AD0101"/>
          <w:sz w:val="40"/>
          <w:szCs w:val="40"/>
        </w:rPr>
        <w:t xml:space="preserve"> </w:t>
      </w:r>
    </w:p>
    <w:p w:rsidR="00DB0A7B" w:rsidRDefault="00DB0A7B" w:rsidP="00DB0A7B">
      <w:pPr>
        <w:spacing w:line="282" w:lineRule="auto"/>
        <w:ind w:right="560"/>
        <w:rPr>
          <w:b/>
          <w:color w:val="AD0101"/>
          <w:sz w:val="40"/>
          <w:szCs w:val="40"/>
        </w:rPr>
      </w:pPr>
      <w:hyperlink r:id="rId8" w:history="1">
        <w:r w:rsidRPr="00567C60">
          <w:rPr>
            <w:rStyle w:val="Hyperlink"/>
            <w:b/>
            <w:sz w:val="40"/>
            <w:szCs w:val="40"/>
          </w:rPr>
          <w:t>info@sinephweb.org</w:t>
        </w:r>
      </w:hyperlink>
      <w:r>
        <w:rPr>
          <w:b/>
          <w:color w:val="AD0101"/>
          <w:sz w:val="40"/>
          <w:szCs w:val="40"/>
        </w:rPr>
        <w:t xml:space="preserve"> </w:t>
      </w:r>
    </w:p>
    <w:p w:rsidR="00DB0A7B" w:rsidRDefault="00DB0A7B" w:rsidP="00DB0A7B">
      <w:pPr>
        <w:spacing w:line="282" w:lineRule="auto"/>
        <w:ind w:right="560"/>
        <w:rPr>
          <w:b/>
          <w:color w:val="AD0101"/>
          <w:sz w:val="40"/>
          <w:szCs w:val="40"/>
        </w:rPr>
      </w:pPr>
      <w:hyperlink r:id="rId9" w:history="1">
        <w:r w:rsidRPr="00567C60">
          <w:rPr>
            <w:rStyle w:val="Hyperlink"/>
            <w:b/>
            <w:sz w:val="40"/>
            <w:szCs w:val="40"/>
          </w:rPr>
          <w:t>sineph@yahoo.fr</w:t>
        </w:r>
      </w:hyperlink>
    </w:p>
    <w:p w:rsidR="00DB0A7B" w:rsidRDefault="00DB0A7B" w:rsidP="00DB0A7B">
      <w:pPr>
        <w:spacing w:line="282" w:lineRule="auto"/>
        <w:ind w:right="560"/>
        <w:rPr>
          <w:b/>
          <w:color w:val="AD0101"/>
          <w:sz w:val="40"/>
          <w:szCs w:val="40"/>
        </w:rPr>
      </w:pPr>
    </w:p>
    <w:p w:rsidR="00DB0A7B" w:rsidRPr="00DB0A7B" w:rsidRDefault="00DB0A7B" w:rsidP="00DB0A7B">
      <w:pPr>
        <w:spacing w:line="282" w:lineRule="auto"/>
        <w:ind w:right="560"/>
        <w:rPr>
          <w:b/>
          <w:color w:val="AD0101"/>
          <w:sz w:val="40"/>
          <w:szCs w:val="40"/>
        </w:rPr>
      </w:pPr>
      <w:r>
        <w:rPr>
          <w:b/>
          <w:color w:val="AD0101"/>
          <w:sz w:val="40"/>
          <w:szCs w:val="40"/>
        </w:rPr>
        <w:t>www.sinephweb.org</w:t>
      </w:r>
    </w:p>
    <w:p w:rsidR="00110BB3" w:rsidRDefault="00110BB3" w:rsidP="006976D9">
      <w:pPr>
        <w:spacing w:line="200" w:lineRule="exact"/>
        <w:rPr>
          <w:rFonts w:ascii="Times New Roman" w:eastAsia="Times New Roman" w:hAnsi="Times New Roman"/>
          <w:sz w:val="24"/>
        </w:rPr>
      </w:pPr>
    </w:p>
    <w:p w:rsidR="006976D9" w:rsidRDefault="006976D9">
      <w:pPr>
        <w:spacing w:line="200" w:lineRule="exact"/>
        <w:rPr>
          <w:rFonts w:ascii="Times New Roman" w:eastAsia="Times New Roman" w:hAnsi="Times New Roman"/>
          <w:sz w:val="36"/>
          <w:szCs w:val="36"/>
        </w:rPr>
      </w:pPr>
    </w:p>
    <w:p w:rsidR="00DB0A7B" w:rsidRPr="00DB0A7B" w:rsidRDefault="00DB0A7B">
      <w:pPr>
        <w:spacing w:line="200" w:lineRule="exact"/>
        <w:rPr>
          <w:rFonts w:ascii="Times New Roman" w:eastAsia="Times New Roman" w:hAnsi="Times New Roman"/>
          <w:sz w:val="36"/>
          <w:szCs w:val="36"/>
        </w:rPr>
      </w:pPr>
    </w:p>
    <w:p w:rsidR="006976D9" w:rsidRDefault="006976D9">
      <w:pPr>
        <w:spacing w:line="200" w:lineRule="exact"/>
        <w:rPr>
          <w:rFonts w:ascii="Times New Roman" w:eastAsia="Times New Roman" w:hAnsi="Times New Roman"/>
          <w:sz w:val="24"/>
        </w:rPr>
      </w:pPr>
    </w:p>
    <w:p w:rsidR="005D44DA" w:rsidRDefault="005D44DA">
      <w:pPr>
        <w:spacing w:line="200" w:lineRule="exact"/>
        <w:rPr>
          <w:rFonts w:ascii="Times New Roman" w:eastAsia="Times New Roman" w:hAnsi="Times New Roman"/>
          <w:sz w:val="24"/>
        </w:rPr>
      </w:pPr>
    </w:p>
    <w:p w:rsidR="00171B0B" w:rsidRPr="00171B0B" w:rsidRDefault="00171B0B">
      <w:pPr>
        <w:spacing w:line="200" w:lineRule="exact"/>
        <w:rPr>
          <w:rFonts w:ascii="Times New Roman" w:eastAsia="Times New Roman" w:hAnsi="Times New Roman"/>
          <w:sz w:val="32"/>
          <w:szCs w:val="32"/>
        </w:rPr>
      </w:pPr>
    </w:p>
    <w:p w:rsidR="00171B0B" w:rsidRDefault="00171B0B">
      <w:pPr>
        <w:spacing w:line="221" w:lineRule="exact"/>
        <w:rPr>
          <w:rFonts w:ascii="Times New Roman" w:eastAsia="Times New Roman" w:hAnsi="Times New Roman"/>
          <w:sz w:val="24"/>
        </w:rPr>
      </w:pPr>
    </w:p>
    <w:p w:rsidR="00DB0A7B" w:rsidRDefault="00DB0A7B">
      <w:pPr>
        <w:spacing w:line="221" w:lineRule="exact"/>
        <w:rPr>
          <w:rFonts w:ascii="Times New Roman" w:eastAsia="Times New Roman" w:hAnsi="Times New Roman"/>
          <w:sz w:val="24"/>
        </w:rPr>
      </w:pPr>
    </w:p>
    <w:p w:rsidR="00171B0B" w:rsidRDefault="00171B0B">
      <w:pPr>
        <w:spacing w:line="221" w:lineRule="exact"/>
        <w:rPr>
          <w:rFonts w:ascii="Times New Roman" w:eastAsia="Times New Roman" w:hAnsi="Times New Roman"/>
          <w:b/>
          <w:sz w:val="28"/>
          <w:szCs w:val="28"/>
        </w:rPr>
      </w:pPr>
      <w:r>
        <w:rPr>
          <w:rFonts w:ascii="Times New Roman" w:eastAsia="Times New Roman" w:hAnsi="Times New Roman"/>
          <w:b/>
          <w:sz w:val="28"/>
          <w:szCs w:val="28"/>
        </w:rPr>
        <w:t>GUIDE DE REMPLISSAGE A L</w:t>
      </w:r>
      <w:r w:rsidR="00512741">
        <w:rPr>
          <w:rFonts w:ascii="Times New Roman" w:eastAsia="Times New Roman" w:hAnsi="Times New Roman"/>
          <w:b/>
          <w:sz w:val="28"/>
          <w:szCs w:val="28"/>
        </w:rPr>
        <w:t>’USAGE DU PROFESSIONNEL DE SANTE</w:t>
      </w:r>
    </w:p>
    <w:p w:rsidR="00171B0B" w:rsidRDefault="00171B0B">
      <w:pPr>
        <w:spacing w:line="221" w:lineRule="exact"/>
        <w:rPr>
          <w:rFonts w:ascii="Times New Roman" w:eastAsia="Times New Roman" w:hAnsi="Times New Roman"/>
          <w:b/>
          <w:sz w:val="28"/>
          <w:szCs w:val="28"/>
        </w:rPr>
      </w:pPr>
    </w:p>
    <w:p w:rsidR="00171B0B" w:rsidRDefault="00171B0B">
      <w:pPr>
        <w:spacing w:line="221" w:lineRule="exact"/>
        <w:rPr>
          <w:rFonts w:ascii="Times New Roman" w:eastAsia="Times New Roman" w:hAnsi="Times New Roman"/>
          <w:b/>
          <w:sz w:val="28"/>
          <w:szCs w:val="28"/>
        </w:rPr>
      </w:pPr>
    </w:p>
    <w:p w:rsidR="00171B0B" w:rsidRPr="00171B0B" w:rsidRDefault="00171B0B">
      <w:pPr>
        <w:spacing w:line="221" w:lineRule="exact"/>
        <w:rPr>
          <w:rFonts w:ascii="Times New Roman" w:eastAsia="Times New Roman" w:hAnsi="Times New Roman"/>
          <w:b/>
          <w:sz w:val="28"/>
          <w:szCs w:val="28"/>
        </w:rPr>
      </w:pPr>
    </w:p>
    <w:p w:rsidR="00110BB3" w:rsidRDefault="00110BB3">
      <w:pPr>
        <w:numPr>
          <w:ilvl w:val="0"/>
          <w:numId w:val="1"/>
        </w:numPr>
        <w:tabs>
          <w:tab w:val="left" w:pos="700"/>
        </w:tabs>
        <w:spacing w:line="0" w:lineRule="atLeast"/>
        <w:ind w:left="700" w:hanging="544"/>
        <w:rPr>
          <w:color w:val="AD0101"/>
          <w:sz w:val="32"/>
        </w:rPr>
      </w:pPr>
      <w:r>
        <w:rPr>
          <w:color w:val="AD0101"/>
          <w:sz w:val="32"/>
        </w:rPr>
        <w:t>Introduction</w:t>
      </w:r>
    </w:p>
    <w:p w:rsidR="00110BB3" w:rsidRDefault="00110BB3">
      <w:pPr>
        <w:spacing w:line="132" w:lineRule="exact"/>
        <w:rPr>
          <w:rFonts w:ascii="Times New Roman" w:eastAsia="Times New Roman" w:hAnsi="Times New Roman"/>
          <w:sz w:val="24"/>
        </w:rPr>
      </w:pPr>
    </w:p>
    <w:p w:rsidR="00171B0B" w:rsidRDefault="00110BB3">
      <w:pPr>
        <w:spacing w:line="272" w:lineRule="auto"/>
        <w:ind w:firstLine="360"/>
        <w:jc w:val="both"/>
        <w:rPr>
          <w:rFonts w:ascii="Garamond" w:eastAsia="Garamond" w:hAnsi="Garamond"/>
          <w:sz w:val="22"/>
        </w:rPr>
      </w:pPr>
      <w:r>
        <w:rPr>
          <w:rFonts w:ascii="Garamond" w:eastAsia="Garamond" w:hAnsi="Garamond"/>
          <w:sz w:val="22"/>
        </w:rPr>
        <w:t xml:space="preserve">Ce document décrit les méthodes standards applicables à l’ensemble des centres contribuant au registre. Il définit la population faisant l’objet de l’enregistrement et le noyau commun des informations à recueillir. </w:t>
      </w:r>
    </w:p>
    <w:p w:rsidR="00110BB3" w:rsidRDefault="00171B0B" w:rsidP="00171B0B">
      <w:pPr>
        <w:spacing w:line="272" w:lineRule="auto"/>
        <w:jc w:val="both"/>
        <w:rPr>
          <w:rFonts w:ascii="Garamond" w:eastAsia="Garamond" w:hAnsi="Garamond"/>
          <w:sz w:val="22"/>
        </w:rPr>
      </w:pPr>
      <w:r>
        <w:rPr>
          <w:rFonts w:ascii="Garamond" w:eastAsia="Garamond" w:hAnsi="Garamond"/>
          <w:sz w:val="22"/>
        </w:rPr>
        <w:t xml:space="preserve">Son </w:t>
      </w:r>
      <w:r w:rsidR="00110BB3">
        <w:rPr>
          <w:rFonts w:ascii="Garamond" w:eastAsia="Garamond" w:hAnsi="Garamond"/>
          <w:sz w:val="22"/>
        </w:rPr>
        <w:t>objectif est de garantir un recueil homogène de ces données permettant une analyse et une interprétation commune à l’échelon national.</w:t>
      </w:r>
    </w:p>
    <w:p w:rsidR="00110BB3" w:rsidRDefault="00110BB3">
      <w:pPr>
        <w:spacing w:line="202" w:lineRule="exact"/>
        <w:rPr>
          <w:rFonts w:ascii="Times New Roman" w:eastAsia="Times New Roman" w:hAnsi="Times New Roman"/>
          <w:sz w:val="24"/>
        </w:rPr>
      </w:pPr>
    </w:p>
    <w:p w:rsidR="00110BB3" w:rsidRDefault="00110BB3">
      <w:pPr>
        <w:spacing w:line="257" w:lineRule="auto"/>
        <w:ind w:firstLine="360"/>
        <w:jc w:val="both"/>
        <w:rPr>
          <w:rFonts w:ascii="Garamond" w:eastAsia="Garamond" w:hAnsi="Garamond"/>
          <w:sz w:val="22"/>
        </w:rPr>
      </w:pPr>
      <w:r>
        <w:rPr>
          <w:rFonts w:ascii="Garamond" w:eastAsia="Garamond" w:hAnsi="Garamond"/>
          <w:sz w:val="22"/>
        </w:rPr>
        <w:t>Quel que soit le mode d’organisation des centres participant au registre, le noyau dur d’information doit respecter le standard national. Un centre peut décider d’enregistrer des informations complémentaires, qui ne seront pas analysées à l’échelon national, mais ne peut modifier sans concertation le noyau commun.</w:t>
      </w:r>
    </w:p>
    <w:p w:rsidR="00110BB3" w:rsidRDefault="00110BB3">
      <w:pPr>
        <w:spacing w:line="189" w:lineRule="exact"/>
        <w:rPr>
          <w:rFonts w:ascii="Times New Roman" w:eastAsia="Times New Roman" w:hAnsi="Times New Roman"/>
          <w:sz w:val="24"/>
        </w:rPr>
      </w:pPr>
    </w:p>
    <w:p w:rsidR="00110BB3" w:rsidRDefault="00110BB3">
      <w:pPr>
        <w:spacing w:line="277" w:lineRule="auto"/>
        <w:ind w:right="20" w:firstLine="360"/>
        <w:rPr>
          <w:rFonts w:ascii="Garamond" w:eastAsia="Garamond" w:hAnsi="Garamond"/>
          <w:sz w:val="22"/>
        </w:rPr>
      </w:pPr>
      <w:r>
        <w:rPr>
          <w:rFonts w:ascii="Garamond" w:eastAsia="Garamond" w:hAnsi="Garamond"/>
          <w:sz w:val="22"/>
        </w:rPr>
        <w:t>Toute modification du noyau commun d’information à l’échelon national fera l’objet d’une procédure écrite, d’une concertation entre les partenaires et d’un calendrier de mise à jour.</w:t>
      </w:r>
    </w:p>
    <w:p w:rsidR="00110BB3" w:rsidRDefault="00110BB3">
      <w:pPr>
        <w:spacing w:line="274" w:lineRule="exact"/>
        <w:rPr>
          <w:rFonts w:ascii="Times New Roman" w:eastAsia="Times New Roman" w:hAnsi="Times New Roman"/>
          <w:sz w:val="24"/>
        </w:rPr>
      </w:pPr>
    </w:p>
    <w:p w:rsidR="00110BB3" w:rsidRDefault="00110BB3">
      <w:pPr>
        <w:numPr>
          <w:ilvl w:val="0"/>
          <w:numId w:val="2"/>
        </w:numPr>
        <w:tabs>
          <w:tab w:val="left" w:pos="700"/>
        </w:tabs>
        <w:spacing w:line="0" w:lineRule="atLeast"/>
        <w:ind w:left="700" w:hanging="647"/>
        <w:rPr>
          <w:color w:val="AD0101"/>
          <w:sz w:val="32"/>
        </w:rPr>
      </w:pPr>
      <w:r>
        <w:rPr>
          <w:color w:val="AD0101"/>
          <w:sz w:val="32"/>
        </w:rPr>
        <w:t>Définition de la population</w:t>
      </w:r>
    </w:p>
    <w:p w:rsidR="00110BB3" w:rsidRDefault="00110BB3">
      <w:pPr>
        <w:spacing w:line="132" w:lineRule="exact"/>
        <w:rPr>
          <w:rFonts w:ascii="Times New Roman" w:eastAsia="Times New Roman" w:hAnsi="Times New Roman"/>
          <w:sz w:val="24"/>
        </w:rPr>
      </w:pPr>
    </w:p>
    <w:p w:rsidR="00110BB3" w:rsidRDefault="00110BB3">
      <w:pPr>
        <w:spacing w:line="251" w:lineRule="auto"/>
        <w:ind w:firstLine="360"/>
        <w:jc w:val="both"/>
        <w:rPr>
          <w:rFonts w:ascii="Garamond" w:eastAsia="Garamond" w:hAnsi="Garamond"/>
          <w:sz w:val="22"/>
        </w:rPr>
      </w:pPr>
      <w:r>
        <w:rPr>
          <w:rFonts w:ascii="Garamond" w:eastAsia="Garamond" w:hAnsi="Garamond"/>
          <w:sz w:val="22"/>
        </w:rPr>
        <w:t>Le registre concerne l’ensemble des patients en traitement de suppléance pour une insuffisance rénale chronique, par dialyse ou transplantation rénale, en Côte d’Ivoire. La base de données est constituée par l’agrégation, à l’étape de l’analyse, des informations sur la greffe et la dialyse, dont les modalités de recueil font l’objet de ce guide.</w:t>
      </w:r>
    </w:p>
    <w:p w:rsidR="00110BB3" w:rsidRDefault="00110BB3">
      <w:pPr>
        <w:spacing w:line="333" w:lineRule="exact"/>
        <w:rPr>
          <w:rFonts w:ascii="Times New Roman" w:eastAsia="Times New Roman" w:hAnsi="Times New Roman"/>
          <w:sz w:val="24"/>
        </w:rPr>
      </w:pPr>
    </w:p>
    <w:p w:rsidR="00171B0B" w:rsidRDefault="00171B0B">
      <w:pPr>
        <w:spacing w:line="333" w:lineRule="exact"/>
        <w:rPr>
          <w:rFonts w:ascii="Times New Roman" w:eastAsia="Times New Roman" w:hAnsi="Times New Roman"/>
          <w:sz w:val="24"/>
        </w:rPr>
      </w:pPr>
    </w:p>
    <w:p w:rsidR="00110BB3" w:rsidRPr="00171B0B" w:rsidRDefault="006976D9">
      <w:pPr>
        <w:spacing w:line="0" w:lineRule="atLeast"/>
        <w:rPr>
          <w:b/>
          <w:color w:val="C00000"/>
          <w:sz w:val="28"/>
        </w:rPr>
      </w:pPr>
      <w:r w:rsidRPr="00171B0B">
        <w:rPr>
          <w:b/>
          <w:color w:val="C00000"/>
          <w:sz w:val="28"/>
        </w:rPr>
        <w:t>Critè</w:t>
      </w:r>
      <w:r w:rsidR="00110BB3" w:rsidRPr="00171B0B">
        <w:rPr>
          <w:b/>
          <w:color w:val="C00000"/>
          <w:sz w:val="28"/>
        </w:rPr>
        <w:t>res d’inclusion</w:t>
      </w:r>
    </w:p>
    <w:p w:rsidR="00110BB3" w:rsidRDefault="00110BB3">
      <w:pPr>
        <w:spacing w:line="116" w:lineRule="exact"/>
        <w:rPr>
          <w:rFonts w:ascii="Times New Roman" w:eastAsia="Times New Roman" w:hAnsi="Times New Roman"/>
          <w:sz w:val="24"/>
        </w:rPr>
      </w:pPr>
    </w:p>
    <w:p w:rsidR="00171B0B" w:rsidRDefault="00171B0B">
      <w:pPr>
        <w:spacing w:line="116" w:lineRule="exact"/>
        <w:rPr>
          <w:rFonts w:ascii="Times New Roman" w:eastAsia="Times New Roman" w:hAnsi="Times New Roman"/>
          <w:sz w:val="24"/>
        </w:rPr>
      </w:pPr>
    </w:p>
    <w:p w:rsidR="00110BB3" w:rsidRDefault="00110BB3">
      <w:pPr>
        <w:spacing w:line="0" w:lineRule="atLeast"/>
        <w:ind w:left="700"/>
        <w:rPr>
          <w:rFonts w:ascii="Garamond" w:eastAsia="Garamond" w:hAnsi="Garamond"/>
          <w:sz w:val="22"/>
        </w:rPr>
      </w:pPr>
      <w:r>
        <w:rPr>
          <w:rFonts w:ascii="Garamond" w:eastAsia="Garamond" w:hAnsi="Garamond"/>
          <w:sz w:val="22"/>
        </w:rPr>
        <w:t>Tous les patients :</w:t>
      </w:r>
    </w:p>
    <w:p w:rsidR="00110BB3" w:rsidRDefault="00110BB3">
      <w:pPr>
        <w:numPr>
          <w:ilvl w:val="0"/>
          <w:numId w:val="3"/>
        </w:numPr>
        <w:tabs>
          <w:tab w:val="left" w:pos="1120"/>
        </w:tabs>
        <w:spacing w:line="0" w:lineRule="atLeast"/>
        <w:ind w:left="1120" w:hanging="414"/>
        <w:rPr>
          <w:rFonts w:ascii="Times New Roman" w:eastAsia="Times New Roman" w:hAnsi="Times New Roman"/>
          <w:sz w:val="22"/>
        </w:rPr>
      </w:pPr>
      <w:r>
        <w:rPr>
          <w:rFonts w:ascii="Garamond" w:eastAsia="Garamond" w:hAnsi="Garamond"/>
          <w:sz w:val="22"/>
        </w:rPr>
        <w:t>ayant atteints le stade de l’IRCT relevant d’un traitement de suppléance (dialyse ou greffe rénale)</w:t>
      </w:r>
    </w:p>
    <w:p w:rsidR="00110BB3" w:rsidRDefault="00110BB3">
      <w:pPr>
        <w:spacing w:line="193" w:lineRule="exact"/>
        <w:rPr>
          <w:rFonts w:ascii="Times New Roman" w:eastAsia="Times New Roman" w:hAnsi="Times New Roman"/>
          <w:sz w:val="22"/>
        </w:rPr>
      </w:pPr>
    </w:p>
    <w:p w:rsidR="00110BB3" w:rsidRDefault="00110BB3">
      <w:pPr>
        <w:numPr>
          <w:ilvl w:val="0"/>
          <w:numId w:val="3"/>
        </w:numPr>
        <w:tabs>
          <w:tab w:val="left" w:pos="1060"/>
        </w:tabs>
        <w:spacing w:line="0" w:lineRule="atLeast"/>
        <w:ind w:left="1060" w:hanging="354"/>
        <w:rPr>
          <w:rFonts w:ascii="Times New Roman" w:eastAsia="Times New Roman" w:hAnsi="Times New Roman"/>
          <w:sz w:val="22"/>
        </w:rPr>
      </w:pPr>
      <w:r>
        <w:rPr>
          <w:rFonts w:ascii="Garamond" w:eastAsia="Garamond" w:hAnsi="Garamond"/>
          <w:sz w:val="22"/>
        </w:rPr>
        <w:t>dialysés depuis plus de 45 jours</w:t>
      </w:r>
    </w:p>
    <w:p w:rsidR="00110BB3" w:rsidRDefault="00110BB3">
      <w:pPr>
        <w:spacing w:line="178" w:lineRule="exact"/>
        <w:rPr>
          <w:rFonts w:ascii="Times New Roman" w:eastAsia="Times New Roman" w:hAnsi="Times New Roman"/>
          <w:sz w:val="22"/>
        </w:rPr>
      </w:pPr>
    </w:p>
    <w:p w:rsidR="00110BB3" w:rsidRDefault="00110BB3">
      <w:pPr>
        <w:numPr>
          <w:ilvl w:val="0"/>
          <w:numId w:val="3"/>
        </w:numPr>
        <w:tabs>
          <w:tab w:val="left" w:pos="1060"/>
        </w:tabs>
        <w:spacing w:line="0" w:lineRule="atLeast"/>
        <w:ind w:left="1060" w:hanging="354"/>
        <w:rPr>
          <w:rFonts w:ascii="Times New Roman" w:eastAsia="Times New Roman" w:hAnsi="Times New Roman"/>
          <w:sz w:val="22"/>
        </w:rPr>
      </w:pPr>
      <w:r>
        <w:rPr>
          <w:rFonts w:ascii="Garamond" w:eastAsia="Garamond" w:hAnsi="Garamond"/>
          <w:sz w:val="22"/>
        </w:rPr>
        <w:t>suivis pour IRCT (DFG &lt; 15 ml/mn selon MDRD) depuis au moins 3 mois</w:t>
      </w:r>
    </w:p>
    <w:p w:rsidR="00110BB3" w:rsidRDefault="00110BB3">
      <w:pPr>
        <w:spacing w:line="180" w:lineRule="exact"/>
        <w:rPr>
          <w:rFonts w:ascii="Times New Roman" w:eastAsia="Times New Roman" w:hAnsi="Times New Roman"/>
          <w:sz w:val="22"/>
        </w:rPr>
      </w:pPr>
    </w:p>
    <w:p w:rsidR="00110BB3" w:rsidRDefault="00110BB3">
      <w:pPr>
        <w:numPr>
          <w:ilvl w:val="0"/>
          <w:numId w:val="3"/>
        </w:numPr>
        <w:tabs>
          <w:tab w:val="left" w:pos="1060"/>
        </w:tabs>
        <w:spacing w:line="0" w:lineRule="atLeast"/>
        <w:ind w:left="1060" w:hanging="354"/>
        <w:rPr>
          <w:rFonts w:ascii="Times New Roman" w:eastAsia="Times New Roman" w:hAnsi="Times New Roman"/>
          <w:sz w:val="22"/>
        </w:rPr>
      </w:pPr>
      <w:r>
        <w:rPr>
          <w:rFonts w:ascii="Garamond" w:eastAsia="Garamond" w:hAnsi="Garamond"/>
          <w:sz w:val="22"/>
        </w:rPr>
        <w:t>qui gardent un DFG &lt; 15 ml/mn selon MDRD pendant au moins 3 mois</w:t>
      </w:r>
    </w:p>
    <w:p w:rsidR="00110BB3" w:rsidRDefault="00110BB3">
      <w:pPr>
        <w:spacing w:line="180" w:lineRule="exact"/>
        <w:rPr>
          <w:rFonts w:ascii="Times New Roman" w:eastAsia="Times New Roman" w:hAnsi="Times New Roman"/>
          <w:sz w:val="24"/>
        </w:rPr>
      </w:pPr>
    </w:p>
    <w:p w:rsidR="00110BB3" w:rsidRDefault="00110BB3">
      <w:pPr>
        <w:spacing w:line="0" w:lineRule="atLeast"/>
        <w:ind w:left="700"/>
        <w:rPr>
          <w:rFonts w:ascii="Garamond" w:eastAsia="Garamond" w:hAnsi="Garamond"/>
          <w:sz w:val="22"/>
        </w:rPr>
      </w:pPr>
      <w:r>
        <w:rPr>
          <w:rFonts w:ascii="Garamond" w:eastAsia="Garamond" w:hAnsi="Garamond"/>
          <w:sz w:val="22"/>
        </w:rPr>
        <w:t>En cas de doute avec une insuffisance rénale aiguë (IRA), est considéré en IRC traité, tout patient</w:t>
      </w:r>
    </w:p>
    <w:p w:rsidR="00110BB3" w:rsidRDefault="00110BB3">
      <w:pPr>
        <w:spacing w:line="36" w:lineRule="exact"/>
        <w:rPr>
          <w:rFonts w:ascii="Times New Roman" w:eastAsia="Times New Roman" w:hAnsi="Times New Roman"/>
          <w:sz w:val="24"/>
        </w:rPr>
      </w:pPr>
    </w:p>
    <w:p w:rsidR="00110BB3" w:rsidRDefault="00110BB3">
      <w:pPr>
        <w:spacing w:line="237" w:lineRule="auto"/>
        <w:ind w:left="700" w:right="140"/>
        <w:rPr>
          <w:rFonts w:ascii="Garamond" w:eastAsia="Garamond" w:hAnsi="Garamond"/>
          <w:sz w:val="21"/>
        </w:rPr>
      </w:pPr>
      <w:r>
        <w:rPr>
          <w:rFonts w:ascii="Garamond" w:eastAsia="Garamond" w:hAnsi="Garamond"/>
          <w:sz w:val="21"/>
        </w:rPr>
        <w:t>dialysé plus de 45 jours ou greffé de façon préemptive. En cas décès avant le 45</w:t>
      </w:r>
      <w:r>
        <w:rPr>
          <w:rFonts w:ascii="Garamond" w:eastAsia="Garamond" w:hAnsi="Garamond"/>
          <w:sz w:val="13"/>
        </w:rPr>
        <w:t>ième</w:t>
      </w:r>
      <w:r>
        <w:rPr>
          <w:rFonts w:ascii="Garamond" w:eastAsia="Garamond" w:hAnsi="Garamond"/>
          <w:sz w:val="21"/>
        </w:rPr>
        <w:t xml:space="preserve"> jour, un avis d’expert permettra de faire la différence entre une IRC et une IRA. La date de début du traitement est</w:t>
      </w:r>
    </w:p>
    <w:p w:rsidR="00110BB3" w:rsidRDefault="00110BB3">
      <w:pPr>
        <w:spacing w:line="234" w:lineRule="auto"/>
        <w:ind w:left="700"/>
        <w:rPr>
          <w:rFonts w:ascii="Garamond" w:eastAsia="Garamond" w:hAnsi="Garamond"/>
          <w:sz w:val="22"/>
        </w:rPr>
      </w:pPr>
      <w:r>
        <w:rPr>
          <w:rFonts w:ascii="Garamond" w:eastAsia="Garamond" w:hAnsi="Garamond"/>
          <w:sz w:val="22"/>
        </w:rPr>
        <w:t>celle de la prescription de la 1</w:t>
      </w:r>
      <w:r>
        <w:rPr>
          <w:rFonts w:ascii="Garamond" w:eastAsia="Garamond" w:hAnsi="Garamond"/>
          <w:sz w:val="13"/>
        </w:rPr>
        <w:t>ère</w:t>
      </w:r>
      <w:r>
        <w:rPr>
          <w:rFonts w:ascii="Garamond" w:eastAsia="Garamond" w:hAnsi="Garamond"/>
          <w:sz w:val="22"/>
        </w:rPr>
        <w:t xml:space="preserve"> dialyse ou de la greffe rénale.</w:t>
      </w:r>
    </w:p>
    <w:p w:rsidR="00110BB3" w:rsidRDefault="00110BB3">
      <w:pPr>
        <w:spacing w:line="276" w:lineRule="exact"/>
        <w:rPr>
          <w:rFonts w:ascii="Times New Roman" w:eastAsia="Times New Roman" w:hAnsi="Times New Roman"/>
          <w:sz w:val="24"/>
        </w:rPr>
      </w:pPr>
    </w:p>
    <w:p w:rsidR="00110BB3" w:rsidRDefault="00110BB3">
      <w:pPr>
        <w:spacing w:line="223" w:lineRule="auto"/>
        <w:ind w:right="80"/>
        <w:rPr>
          <w:rFonts w:ascii="Garamond" w:eastAsia="Garamond" w:hAnsi="Garamond"/>
          <w:sz w:val="22"/>
        </w:rPr>
      </w:pPr>
      <w:r>
        <w:rPr>
          <w:rFonts w:ascii="Garamond" w:eastAsia="Garamond" w:hAnsi="Garamond"/>
          <w:sz w:val="22"/>
        </w:rPr>
        <w:t>Cas particulier des dialyses pour insuffisance cardiaque : les patients démarrant un traitement par dialyse pour une insuffisance cardiaque réfractaire seront inclus dans le registre et identifiés comme tel.</w:t>
      </w:r>
    </w:p>
    <w:p w:rsidR="00110BB3" w:rsidRDefault="00110BB3">
      <w:pPr>
        <w:spacing w:line="182" w:lineRule="exact"/>
        <w:rPr>
          <w:rFonts w:ascii="Times New Roman" w:eastAsia="Times New Roman" w:hAnsi="Times New Roman"/>
          <w:sz w:val="24"/>
        </w:rPr>
      </w:pPr>
    </w:p>
    <w:p w:rsidR="00110BB3" w:rsidRDefault="00110BB3">
      <w:pPr>
        <w:spacing w:line="0" w:lineRule="atLeast"/>
        <w:ind w:left="40"/>
        <w:rPr>
          <w:rFonts w:ascii="Garamond" w:eastAsia="Garamond" w:hAnsi="Garamond"/>
          <w:sz w:val="22"/>
        </w:rPr>
      </w:pPr>
      <w:r>
        <w:rPr>
          <w:rFonts w:ascii="Garamond" w:eastAsia="Garamond" w:hAnsi="Garamond"/>
          <w:sz w:val="22"/>
          <w:u w:val="single"/>
        </w:rPr>
        <w:t>Lors du démarrage</w:t>
      </w:r>
      <w:r>
        <w:rPr>
          <w:rFonts w:ascii="Garamond" w:eastAsia="Garamond" w:hAnsi="Garamond"/>
          <w:sz w:val="22"/>
        </w:rPr>
        <w:t xml:space="preserve"> du registre dans un centre, l’ensemble des patients dialysés du centre doivent être inclus</w:t>
      </w:r>
    </w:p>
    <w:p w:rsidR="00110BB3" w:rsidRDefault="00110BB3">
      <w:pPr>
        <w:spacing w:line="64" w:lineRule="exact"/>
        <w:rPr>
          <w:rFonts w:ascii="Times New Roman" w:eastAsia="Times New Roman" w:hAnsi="Times New Roman"/>
          <w:sz w:val="24"/>
        </w:rPr>
      </w:pPr>
    </w:p>
    <w:p w:rsidR="00110BB3" w:rsidRDefault="00110BB3">
      <w:pPr>
        <w:spacing w:line="227" w:lineRule="auto"/>
        <w:ind w:left="40" w:right="80"/>
        <w:rPr>
          <w:rFonts w:ascii="Garamond" w:eastAsia="Garamond" w:hAnsi="Garamond"/>
          <w:sz w:val="22"/>
        </w:rPr>
      </w:pPr>
      <w:r>
        <w:rPr>
          <w:rFonts w:ascii="Garamond" w:eastAsia="Garamond" w:hAnsi="Garamond"/>
          <w:sz w:val="22"/>
        </w:rPr>
        <w:t xml:space="preserve">dans la base (cas </w:t>
      </w:r>
      <w:r w:rsidR="00DA59D3">
        <w:rPr>
          <w:rFonts w:ascii="Garamond" w:eastAsia="Garamond" w:hAnsi="Garamond"/>
          <w:sz w:val="22"/>
        </w:rPr>
        <w:t>prévalents</w:t>
      </w:r>
      <w:r>
        <w:rPr>
          <w:rFonts w:ascii="Garamond" w:eastAsia="Garamond" w:hAnsi="Garamond"/>
          <w:sz w:val="22"/>
        </w:rPr>
        <w:t>). Au fil du temps, seuls les nouveaux patients (cas incidents ou retour de greffe ou arrivant de l’étranger) seront inclus dans la base.</w:t>
      </w:r>
    </w:p>
    <w:p w:rsidR="00110BB3" w:rsidRDefault="00110BB3">
      <w:pPr>
        <w:spacing w:line="269" w:lineRule="exact"/>
        <w:rPr>
          <w:rFonts w:ascii="Times New Roman" w:eastAsia="Times New Roman" w:hAnsi="Times New Roman"/>
          <w:sz w:val="24"/>
        </w:rPr>
      </w:pPr>
    </w:p>
    <w:p w:rsidR="00110BB3" w:rsidRDefault="00110BB3">
      <w:pPr>
        <w:spacing w:line="226" w:lineRule="auto"/>
        <w:ind w:left="40" w:right="80"/>
        <w:rPr>
          <w:rFonts w:ascii="Garamond" w:eastAsia="Garamond" w:hAnsi="Garamond"/>
          <w:sz w:val="22"/>
        </w:rPr>
      </w:pPr>
      <w:r>
        <w:rPr>
          <w:rFonts w:ascii="Garamond" w:eastAsia="Garamond" w:hAnsi="Garamond"/>
          <w:sz w:val="22"/>
        </w:rPr>
        <w:t xml:space="preserve">Pour un </w:t>
      </w:r>
      <w:r>
        <w:rPr>
          <w:rFonts w:ascii="Garamond" w:eastAsia="Garamond" w:hAnsi="Garamond"/>
          <w:sz w:val="22"/>
          <w:u w:val="single"/>
        </w:rPr>
        <w:t>patient greffé,</w:t>
      </w:r>
      <w:r>
        <w:rPr>
          <w:rFonts w:ascii="Garamond" w:eastAsia="Garamond" w:hAnsi="Garamond"/>
          <w:sz w:val="22"/>
        </w:rPr>
        <w:t xml:space="preserve"> en cas de perte fonctionnelle du greffon et de retour en dialyse, il est nécessaire de remplir un dossier d’inclusion sauf si le patient est déjà inclus dans la base parce qu’il était déjà dialysé dans un</w:t>
      </w:r>
    </w:p>
    <w:p w:rsidR="00110BB3" w:rsidRDefault="00110BB3">
      <w:pPr>
        <w:spacing w:line="232" w:lineRule="auto"/>
        <w:ind w:left="40"/>
        <w:rPr>
          <w:rFonts w:ascii="Garamond" w:eastAsia="Garamond" w:hAnsi="Garamond"/>
          <w:sz w:val="22"/>
        </w:rPr>
      </w:pPr>
      <w:r>
        <w:rPr>
          <w:rFonts w:ascii="Garamond" w:eastAsia="Garamond" w:hAnsi="Garamond"/>
          <w:sz w:val="22"/>
        </w:rPr>
        <w:t>centre participant au registre avant la greffe.</w:t>
      </w:r>
    </w:p>
    <w:p w:rsidR="00110BB3" w:rsidRDefault="00110BB3">
      <w:pPr>
        <w:spacing w:line="232" w:lineRule="auto"/>
        <w:ind w:left="40"/>
        <w:rPr>
          <w:rFonts w:ascii="Garamond" w:eastAsia="Garamond" w:hAnsi="Garamond"/>
          <w:sz w:val="22"/>
        </w:rPr>
      </w:pPr>
    </w:p>
    <w:p w:rsidR="00171B0B" w:rsidRDefault="00171B0B">
      <w:pPr>
        <w:spacing w:line="232" w:lineRule="auto"/>
        <w:ind w:left="40"/>
        <w:rPr>
          <w:rFonts w:ascii="Garamond" w:eastAsia="Garamond" w:hAnsi="Garamond"/>
          <w:sz w:val="22"/>
        </w:rPr>
      </w:pPr>
    </w:p>
    <w:p w:rsidR="00171B0B" w:rsidRDefault="00171B0B" w:rsidP="00171B0B">
      <w:pPr>
        <w:spacing w:line="232" w:lineRule="auto"/>
        <w:rPr>
          <w:rFonts w:ascii="Garamond" w:eastAsia="Garamond" w:hAnsi="Garamond"/>
          <w:sz w:val="22"/>
        </w:rPr>
        <w:sectPr w:rsidR="00171B0B">
          <w:headerReference w:type="even" r:id="rId10"/>
          <w:headerReference w:type="default" r:id="rId11"/>
          <w:footerReference w:type="even" r:id="rId12"/>
          <w:footerReference w:type="default" r:id="rId13"/>
          <w:headerReference w:type="first" r:id="rId14"/>
          <w:footerReference w:type="first" r:id="rId15"/>
          <w:pgSz w:w="11900" w:h="16838"/>
          <w:pgMar w:top="1440" w:right="1279" w:bottom="331" w:left="1140" w:header="0" w:footer="0" w:gutter="0"/>
          <w:cols w:space="0" w:equalWidth="0">
            <w:col w:w="9480"/>
          </w:cols>
          <w:docGrid w:linePitch="360"/>
        </w:sectPr>
      </w:pPr>
    </w:p>
    <w:p w:rsidR="00110BB3" w:rsidRDefault="00110BB3">
      <w:pPr>
        <w:spacing w:line="251" w:lineRule="auto"/>
        <w:ind w:left="160" w:right="100"/>
        <w:jc w:val="both"/>
        <w:rPr>
          <w:rFonts w:ascii="Garamond" w:eastAsia="Garamond" w:hAnsi="Garamond"/>
          <w:sz w:val="22"/>
        </w:rPr>
      </w:pPr>
      <w:bookmarkStart w:id="1" w:name="page2"/>
      <w:bookmarkEnd w:id="1"/>
      <w:r>
        <w:rPr>
          <w:rFonts w:ascii="Garamond" w:eastAsia="Garamond" w:hAnsi="Garamond"/>
          <w:sz w:val="22"/>
        </w:rPr>
        <w:lastRenderedPageBreak/>
        <w:t>Lors du transfert d’un patient d’un centre à un autre : 1/ Si les 2 centres participent au registre, le centre d’accueil ne doit pas remplir un nouveau dossier initial, les droits d’utilisateur seront transférés entre l’établissement de départ et l’établissement d’accueil ; 2/ si le centre de départ ne participe pas encore au registre, ou en cas de transfert provenant de l’étranger, l’établissement d’accueil doit remplir un dossier initial.</w:t>
      </w:r>
    </w:p>
    <w:p w:rsidR="00110BB3" w:rsidRDefault="00110BB3">
      <w:pPr>
        <w:spacing w:line="312" w:lineRule="exact"/>
        <w:rPr>
          <w:rFonts w:ascii="Times New Roman" w:eastAsia="Times New Roman" w:hAnsi="Times New Roman"/>
        </w:rPr>
      </w:pPr>
    </w:p>
    <w:p w:rsidR="00110BB3" w:rsidRDefault="00110BB3">
      <w:pPr>
        <w:spacing w:line="0" w:lineRule="atLeast"/>
        <w:ind w:left="160"/>
        <w:rPr>
          <w:b/>
          <w:color w:val="AD0101"/>
          <w:sz w:val="28"/>
        </w:rPr>
      </w:pPr>
      <w:r>
        <w:rPr>
          <w:b/>
          <w:color w:val="AD0101"/>
          <w:sz w:val="28"/>
        </w:rPr>
        <w:t>Critères de non-inclusion</w:t>
      </w:r>
    </w:p>
    <w:p w:rsidR="00110BB3" w:rsidRDefault="00110BB3">
      <w:pPr>
        <w:spacing w:line="123" w:lineRule="exact"/>
        <w:rPr>
          <w:rFonts w:ascii="Times New Roman" w:eastAsia="Times New Roman" w:hAnsi="Times New Roman"/>
        </w:rPr>
      </w:pPr>
    </w:p>
    <w:p w:rsidR="00110BB3" w:rsidRDefault="00110BB3">
      <w:pPr>
        <w:spacing w:line="0" w:lineRule="atLeast"/>
        <w:ind w:left="160"/>
        <w:rPr>
          <w:rFonts w:ascii="Garamond" w:eastAsia="Garamond" w:hAnsi="Garamond"/>
          <w:sz w:val="22"/>
        </w:rPr>
      </w:pPr>
      <w:r>
        <w:rPr>
          <w:rFonts w:ascii="Garamond" w:eastAsia="Garamond" w:hAnsi="Garamond"/>
          <w:sz w:val="22"/>
        </w:rPr>
        <w:t>Ne doivent pas être enregistrés dans la base :</w:t>
      </w:r>
    </w:p>
    <w:p w:rsidR="00110BB3" w:rsidRDefault="00110BB3">
      <w:pPr>
        <w:spacing w:line="267" w:lineRule="auto"/>
        <w:ind w:left="160" w:right="100"/>
        <w:rPr>
          <w:rFonts w:ascii="Garamond" w:eastAsia="Garamond" w:hAnsi="Garamond"/>
          <w:sz w:val="22"/>
        </w:rPr>
      </w:pPr>
      <w:r>
        <w:rPr>
          <w:rFonts w:ascii="Garamond" w:eastAsia="Garamond" w:hAnsi="Garamond"/>
          <w:sz w:val="22"/>
        </w:rPr>
        <w:t xml:space="preserve">Les patients atteints </w:t>
      </w:r>
      <w:r>
        <w:rPr>
          <w:rFonts w:ascii="Garamond" w:eastAsia="Garamond" w:hAnsi="Garamond"/>
          <w:sz w:val="22"/>
          <w:u w:val="single"/>
        </w:rPr>
        <w:t>d’insuffisance rénale aiguë</w:t>
      </w:r>
      <w:r>
        <w:rPr>
          <w:rFonts w:ascii="Garamond" w:eastAsia="Garamond" w:hAnsi="Garamond"/>
          <w:sz w:val="22"/>
        </w:rPr>
        <w:t>. L’insuffisance rénale aiguë est un état pour lequel on peut espérer une récupération de la fonction rénale après une dialyse transitoire de quelques semaines.</w:t>
      </w:r>
    </w:p>
    <w:p w:rsidR="00110BB3" w:rsidRDefault="00110BB3">
      <w:pPr>
        <w:spacing w:line="292" w:lineRule="exact"/>
        <w:rPr>
          <w:rFonts w:ascii="Times New Roman" w:eastAsia="Times New Roman" w:hAnsi="Times New Roman"/>
        </w:rPr>
      </w:pPr>
    </w:p>
    <w:p w:rsidR="00110BB3" w:rsidRDefault="00110BB3">
      <w:pPr>
        <w:numPr>
          <w:ilvl w:val="0"/>
          <w:numId w:val="4"/>
        </w:numPr>
        <w:tabs>
          <w:tab w:val="left" w:pos="860"/>
        </w:tabs>
        <w:spacing w:line="0" w:lineRule="atLeast"/>
        <w:ind w:left="860" w:hanging="740"/>
        <w:rPr>
          <w:color w:val="AD0101"/>
          <w:sz w:val="32"/>
        </w:rPr>
      </w:pPr>
      <w:r>
        <w:rPr>
          <w:color w:val="AD0101"/>
          <w:sz w:val="32"/>
        </w:rPr>
        <w:t>Nature et organisation des informations</w:t>
      </w:r>
    </w:p>
    <w:p w:rsidR="00110BB3" w:rsidRDefault="00110BB3">
      <w:pPr>
        <w:spacing w:line="132" w:lineRule="exact"/>
        <w:rPr>
          <w:rFonts w:ascii="Times New Roman" w:eastAsia="Times New Roman" w:hAnsi="Times New Roman"/>
        </w:rPr>
      </w:pPr>
    </w:p>
    <w:p w:rsidR="00110BB3" w:rsidRDefault="00110BB3">
      <w:pPr>
        <w:spacing w:line="257" w:lineRule="auto"/>
        <w:ind w:left="160" w:right="40" w:firstLine="360"/>
        <w:jc w:val="both"/>
        <w:rPr>
          <w:rFonts w:ascii="Garamond" w:eastAsia="Garamond" w:hAnsi="Garamond"/>
          <w:sz w:val="22"/>
        </w:rPr>
      </w:pPr>
      <w:r>
        <w:rPr>
          <w:rFonts w:ascii="Garamond" w:eastAsia="Garamond" w:hAnsi="Garamond"/>
          <w:sz w:val="22"/>
        </w:rPr>
        <w:t>Le registre repose sur l’enregistrement continu et exhaustif d’un nombre limité d’informations pour l’ensemble des patients. Les informations recueillies comportent des données relatives à l’identification des patients et des structures, la maladie rénale initiale, l’état clinique, les modalités de traitement, ainsi que des</w:t>
      </w:r>
    </w:p>
    <w:p w:rsidR="00110BB3" w:rsidRDefault="00110BB3">
      <w:pPr>
        <w:spacing w:line="11" w:lineRule="exact"/>
        <w:rPr>
          <w:rFonts w:ascii="Times New Roman" w:eastAsia="Times New Roman" w:hAnsi="Times New Roman"/>
        </w:rPr>
      </w:pPr>
    </w:p>
    <w:p w:rsidR="00110BB3" w:rsidRDefault="00110BB3">
      <w:pPr>
        <w:spacing w:line="227" w:lineRule="auto"/>
        <w:ind w:left="160" w:right="40"/>
        <w:jc w:val="both"/>
        <w:rPr>
          <w:rFonts w:ascii="Garamond" w:eastAsia="Garamond" w:hAnsi="Garamond"/>
          <w:sz w:val="22"/>
        </w:rPr>
      </w:pPr>
      <w:r>
        <w:rPr>
          <w:rFonts w:ascii="Garamond" w:eastAsia="Garamond" w:hAnsi="Garamond"/>
          <w:sz w:val="22"/>
        </w:rPr>
        <w:t>données propres aux patients âgés de moins de 16 ans. Les patients sont également suivis, au moyen de l’enregistrement continu d’un certain nombre d’événements (changements de méthode ou de modalité de</w:t>
      </w:r>
    </w:p>
    <w:p w:rsidR="00110BB3" w:rsidRDefault="00110BB3">
      <w:pPr>
        <w:spacing w:line="29" w:lineRule="exact"/>
        <w:rPr>
          <w:rFonts w:ascii="Times New Roman" w:eastAsia="Times New Roman" w:hAnsi="Times New Roman"/>
        </w:rPr>
      </w:pPr>
    </w:p>
    <w:p w:rsidR="00110BB3" w:rsidRDefault="00110BB3">
      <w:pPr>
        <w:spacing w:line="226" w:lineRule="auto"/>
        <w:ind w:left="160" w:right="40"/>
        <w:jc w:val="both"/>
        <w:rPr>
          <w:rFonts w:ascii="Garamond" w:eastAsia="Garamond" w:hAnsi="Garamond"/>
          <w:sz w:val="22"/>
        </w:rPr>
      </w:pPr>
      <w:r>
        <w:rPr>
          <w:rFonts w:ascii="Garamond" w:eastAsia="Garamond" w:hAnsi="Garamond"/>
          <w:sz w:val="22"/>
        </w:rPr>
        <w:t>prise en charge en dialyse, transferts entre structure, arrêt de dialyse, retour de sevrage, greffe rénale, retour de greffe, décès, perdu de vue ou départ à l’étranger) et d’un point annuel.</w:t>
      </w:r>
    </w:p>
    <w:p w:rsidR="00110BB3" w:rsidRDefault="00110BB3">
      <w:pPr>
        <w:spacing w:line="268" w:lineRule="exact"/>
        <w:rPr>
          <w:rFonts w:ascii="Times New Roman" w:eastAsia="Times New Roman" w:hAnsi="Times New Roman"/>
        </w:rPr>
      </w:pPr>
    </w:p>
    <w:p w:rsidR="00110BB3" w:rsidRDefault="00110BB3">
      <w:pPr>
        <w:spacing w:line="234" w:lineRule="auto"/>
        <w:ind w:left="160" w:right="20" w:firstLine="360"/>
        <w:jc w:val="both"/>
        <w:rPr>
          <w:rFonts w:ascii="Garamond" w:eastAsia="Garamond" w:hAnsi="Garamond"/>
          <w:sz w:val="22"/>
        </w:rPr>
      </w:pPr>
      <w:r>
        <w:rPr>
          <w:rFonts w:ascii="Garamond" w:eastAsia="Garamond" w:hAnsi="Garamond"/>
          <w:sz w:val="22"/>
        </w:rPr>
        <w:t>Les informations à recueillir sont structurées en évènements auxquels sont rattachés des formulaires. Ces formulaires sont structurés en « bloc » d’items selon le schéma ci-contre (figure 1). Certains items sont fixes (données initiales, décès) et d’autres évoluent dans le temps (identification du patient, structure de s oins, état clinique, traitement, items pédiatriques, transfert). Dans le formulaire ‘dossier initial’, il est possible de préciser son contexte d’utilisation. Les formulaires sont constitués de trois à sept blocs selon la nature de l’évènement</w:t>
      </w:r>
    </w:p>
    <w:p w:rsidR="00110BB3" w:rsidRDefault="00110BB3">
      <w:pPr>
        <w:spacing w:line="236" w:lineRule="auto"/>
        <w:ind w:left="160"/>
        <w:rPr>
          <w:rFonts w:ascii="Garamond" w:eastAsia="Garamond" w:hAnsi="Garamond"/>
          <w:sz w:val="22"/>
        </w:rPr>
      </w:pPr>
      <w:r>
        <w:rPr>
          <w:rFonts w:ascii="Garamond" w:eastAsia="Garamond" w:hAnsi="Garamond"/>
          <w:sz w:val="22"/>
        </w:rPr>
        <w:t>déclaré.</w:t>
      </w:r>
    </w:p>
    <w:p w:rsidR="00110BB3" w:rsidRDefault="00110BB3">
      <w:pPr>
        <w:spacing w:line="171" w:lineRule="exact"/>
        <w:rPr>
          <w:rFonts w:ascii="Times New Roman" w:eastAsia="Times New Roman" w:hAnsi="Times New Roman"/>
        </w:rPr>
      </w:pPr>
    </w:p>
    <w:p w:rsidR="00110BB3" w:rsidRDefault="00110BB3">
      <w:pPr>
        <w:spacing w:line="0" w:lineRule="atLeast"/>
        <w:ind w:left="660"/>
        <w:rPr>
          <w:rFonts w:ascii="Garamond" w:eastAsia="Garamond" w:hAnsi="Garamond"/>
          <w:sz w:val="21"/>
        </w:rPr>
      </w:pPr>
      <w:r>
        <w:rPr>
          <w:rFonts w:ascii="Garamond" w:eastAsia="Garamond" w:hAnsi="Garamond"/>
          <w:sz w:val="21"/>
        </w:rPr>
        <w:t>Figure 1. Schéma de l’organisation du recueil d’information sur les patients</w:t>
      </w:r>
    </w:p>
    <w:p w:rsidR="00110BB3" w:rsidRDefault="00BF7BDA">
      <w:pPr>
        <w:spacing w:line="20" w:lineRule="exact"/>
        <w:rPr>
          <w:rFonts w:ascii="Times New Roman" w:eastAsia="Times New Roman" w:hAnsi="Times New Roman"/>
        </w:rPr>
      </w:pPr>
      <w:r>
        <w:rPr>
          <w:rFonts w:ascii="Garamond" w:eastAsia="Garamond" w:hAnsi="Garamond"/>
          <w:noProof/>
          <w:sz w:val="21"/>
          <w:lang w:val="en-CA" w:eastAsia="en-CA"/>
        </w:rPr>
        <mc:AlternateContent>
          <mc:Choice Requires="wps">
            <w:drawing>
              <wp:anchor distT="0" distB="0" distL="114300" distR="114300" simplePos="0" relativeHeight="251657216" behindDoc="1" locked="0" layoutInCell="1" allowOverlap="1">
                <wp:simplePos x="0" y="0"/>
                <wp:positionH relativeFrom="column">
                  <wp:posOffset>7620</wp:posOffset>
                </wp:positionH>
                <wp:positionV relativeFrom="paragraph">
                  <wp:posOffset>327660</wp:posOffset>
                </wp:positionV>
                <wp:extent cx="0" cy="4229735"/>
                <wp:effectExtent l="7620" t="13970" r="11430"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735"/>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207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8pt" to=".6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ecEgIAACgEAAAOAAAAZHJzL2Uyb0RvYy54bWysU9uO2yAQfa/Uf0C8J77Em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UnGCnS&#10;w4ieheJoEjozGFeCQ602NtRGj+rVPGv63SGl646oHY8M304GwrIQkdyFhI0zgL8dvmgGPmTvdWzT&#10;sbV9gIQGoGOcxuk2DX70iJ4PKZwWeT5/nDxEdFJeA411/jPXPQpGhSVwjsDk8Ox8IELKq0vIo/Ra&#10;SBmHLRUaKjxN53kMcFoKFi6Dm7O7bS0tOpAgl/hd8t65Wb1XLIJ1nLDVxfZEyLMNyaUKeFAK0LlY&#10;Zz38mKfz1Ww1K0ZFPl2NirRpRp/WdTGarrPHh2bS1HWT/QzUsqLsBGNcBXZXbWbF383+8krOqrqp&#10;89aG5B499gvIXv+RdJxlGN9ZCFvNTht7nTHIMTpfnk7Q+/s92O8f+PIXAAAA//8DAFBLAwQUAAYA&#10;CAAAACEAAM8RldkAAAAGAQAADwAAAGRycy9kb3ducmV2LnhtbEyOTU+EQBBE7yb+h0mbeHMH1ggG&#10;GTbGj8SDFxcPHnuZFsgyPYQZWPz39p70+FKVqlfuVjeohabQezaQbhJQxI23PbcGPuvXm3tQISJb&#10;HDyTgR8KsKsuL0osrD/xBy372CoZ4VCggS7GsdA6NB05DBs/Ekv27SeHUXBqtZ3wJONu0NskybTD&#10;nuWhw5GeOmqO+9kZeHmP8bbO8mPzNY9aP+Navy2rMddX6+MDqEhr/CvDWV/UoRKng5/ZBjUIb6Vo&#10;4C7NQJ1jwYOBPM1z0FWp/+tXvwAAAP//AwBQSwECLQAUAAYACAAAACEAtoM4kv4AAADhAQAAEwAA&#10;AAAAAAAAAAAAAAAAAAAAW0NvbnRlbnRfVHlwZXNdLnhtbFBLAQItABQABgAIAAAAIQA4/SH/1gAA&#10;AJQBAAALAAAAAAAAAAAAAAAAAC8BAABfcmVscy8ucmVsc1BLAQItABQABgAIAAAAIQCRdhecEgIA&#10;ACgEAAAOAAAAAAAAAAAAAAAAAC4CAABkcnMvZTJvRG9jLnhtbFBLAQItABQABgAIAAAAIQAAzxGV&#10;2QAAAAYBAAAPAAAAAAAAAAAAAAAAAGwEAABkcnMvZG93bnJldi54bWxQSwUGAAAAAAQABADzAAAA&#10;cgUAAAAA&#10;" strokeweight=".16922mm"/>
            </w:pict>
          </mc:Fallback>
        </mc:AlternateContent>
      </w:r>
      <w:r>
        <w:rPr>
          <w:rFonts w:ascii="Garamond" w:eastAsia="Garamond" w:hAnsi="Garamond"/>
          <w:noProof/>
          <w:sz w:val="21"/>
          <w:lang w:val="en-CA" w:eastAsia="en-CA"/>
        </w:rPr>
        <mc:AlternateContent>
          <mc:Choice Requires="wps">
            <w:drawing>
              <wp:anchor distT="0" distB="0" distL="114300" distR="114300" simplePos="0" relativeHeight="251658240" behindDoc="1" locked="0" layoutInCell="1" allowOverlap="1">
                <wp:simplePos x="0" y="0"/>
                <wp:positionH relativeFrom="column">
                  <wp:posOffset>6110605</wp:posOffset>
                </wp:positionH>
                <wp:positionV relativeFrom="paragraph">
                  <wp:posOffset>327660</wp:posOffset>
                </wp:positionV>
                <wp:extent cx="0" cy="4229735"/>
                <wp:effectExtent l="5080" t="13970" r="1397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73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C3BD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15pt,25.8pt" to="481.15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7XEQIAACgEAAAOAAAAZHJzL2Uyb0RvYy54bWysU9uO2yAQfa/Uf0C8J76sN5tYcVaVnfQl&#10;7Uba7QcQwDEqBgQkTlT13zuQizbtS1XVD3iAmTNnZg7z52Mv0YFbJ7SqcDZOMeKKaibUrsLf3laj&#10;KUbOE8WI1IpX+MQdfl58/DAfTMlz3WnJuEUAolw5mAp33psySRzteE/cWBuu4LLVticetnaXMEsG&#10;QO9lkqfpJBm0ZcZqyp2D0+Z8iRcRv2059S9t67hHssLAzcfVxnUb1mQxJ+XOEtMJeqFB/oFFT4SC&#10;pDeohniC9lb8AdULarXTrR9T3Se6bQXlsQaoJkt/q+a1I4bHWqA5ztza5P4fLP162FgkWIVzjBTp&#10;YURroTgqQmcG40pwqNXGhtroUb2atabfHVK67oja8cjw7WQgLAsRyV1I2DgD+Nvhi2bgQ/ZexzYd&#10;W9sHSGgAOsZpnG7T4EeP6PmQwmmR57Onh8eITsproLHOf+a6R8GosATOEZgc1s4HIqS8uoQ8Sq+E&#10;lHHYUqGhwpN09hQDnJaChcvg5uxuW0uLDiTIJX6XvHduVu8Vi2AdJ2x5sT0R8mxDcqkCHpQCdC7W&#10;WQ8/ZulsOV1Oi1GRT5ajIm2a0adVXYwmq+zpsXlo6rrJfgZqWVF2gjGuArurNrPi72Z/eSVnVd3U&#10;eWtDco8e+wVkr/9IOs4yjO8shK1mp429zhjkGJ0vTyfo/f0e7PcPfPELAAD//wMAUEsDBBQABgAI&#10;AAAAIQDG0n/m3wAAAAoBAAAPAAAAZHJzL2Rvd25yZXYueG1sTI9NT4QwEIbvJv6HZky8uYXFhRUZ&#10;NrqJiYkn149zoSMQ6ZTQLgv+ems86HFmnrzzvMVuNr2YaHSdZYR4FYEgrq3uuEF4fXm42oJwXrFW&#10;vWVCWMjBrjw/K1Su7YmfaTr4RoQQdrlCaL0fcild3ZJRbmUH4nD7sKNRPoxjI/WoTiHc9HIdRak0&#10;quPwoVUD7VuqPw9Hg3A9zcvT157uk+oxXrab5i1x7z3i5cV8dwvC0+z/YPjRD+pQBqfKHlk70SPc&#10;pOskoAibOAURgN9FhZDFWQayLOT/CuU3AAAA//8DAFBLAQItABQABgAIAAAAIQC2gziS/gAAAOEB&#10;AAATAAAAAAAAAAAAAAAAAAAAAABbQ29udGVudF9UeXBlc10ueG1sUEsBAi0AFAAGAAgAAAAhADj9&#10;If/WAAAAlAEAAAsAAAAAAAAAAAAAAAAALwEAAF9yZWxzLy5yZWxzUEsBAi0AFAAGAAgAAAAhALxZ&#10;XtcRAgAAKAQAAA4AAAAAAAAAAAAAAAAALgIAAGRycy9lMm9Eb2MueG1sUEsBAi0AFAAGAAgAAAAh&#10;AMbSf+bfAAAACgEAAA8AAAAAAAAAAAAAAAAAawQAAGRycy9kb3ducmV2LnhtbFBLBQYAAAAABAAE&#10;APMAAAB3BQAAAAA=&#10;" strokeweight=".16936mm"/>
            </w:pict>
          </mc:Fallback>
        </mc:AlternateContent>
      </w:r>
    </w:p>
    <w:p w:rsidR="00110BB3" w:rsidRDefault="00110BB3">
      <w:pPr>
        <w:spacing w:line="200" w:lineRule="exact"/>
        <w:rPr>
          <w:rFonts w:ascii="Times New Roman" w:eastAsia="Times New Roman" w:hAnsi="Times New Roman"/>
        </w:rPr>
      </w:pPr>
    </w:p>
    <w:p w:rsidR="00110BB3" w:rsidRDefault="00110BB3">
      <w:pPr>
        <w:spacing w:line="277"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840"/>
        <w:gridCol w:w="4780"/>
      </w:tblGrid>
      <w:tr w:rsidR="00110BB3">
        <w:trPr>
          <w:trHeight w:val="370"/>
        </w:trPr>
        <w:tc>
          <w:tcPr>
            <w:tcW w:w="4840" w:type="dxa"/>
            <w:tcBorders>
              <w:top w:val="single" w:sz="8" w:space="0" w:color="auto"/>
              <w:right w:val="single" w:sz="8" w:space="0" w:color="auto"/>
            </w:tcBorders>
            <w:shd w:val="clear" w:color="auto" w:fill="auto"/>
            <w:vAlign w:val="bottom"/>
          </w:tcPr>
          <w:p w:rsidR="00110BB3" w:rsidRDefault="00110BB3">
            <w:pPr>
              <w:spacing w:line="0" w:lineRule="atLeast"/>
              <w:jc w:val="center"/>
              <w:rPr>
                <w:rFonts w:ascii="Arial" w:eastAsia="Arial" w:hAnsi="Arial"/>
                <w:b/>
                <w:sz w:val="24"/>
              </w:rPr>
            </w:pPr>
            <w:r>
              <w:rPr>
                <w:rFonts w:ascii="Arial" w:eastAsia="Arial" w:hAnsi="Arial"/>
                <w:b/>
                <w:sz w:val="24"/>
              </w:rPr>
              <w:t>DECLARATION INITIALE</w:t>
            </w:r>
          </w:p>
        </w:tc>
        <w:tc>
          <w:tcPr>
            <w:tcW w:w="4780" w:type="dxa"/>
            <w:tcBorders>
              <w:top w:val="single" w:sz="8" w:space="0" w:color="auto"/>
            </w:tcBorders>
            <w:shd w:val="clear" w:color="auto" w:fill="auto"/>
            <w:vAlign w:val="bottom"/>
          </w:tcPr>
          <w:p w:rsidR="00110BB3" w:rsidRDefault="00110BB3">
            <w:pPr>
              <w:spacing w:line="0" w:lineRule="atLeast"/>
              <w:jc w:val="center"/>
              <w:rPr>
                <w:rFonts w:ascii="Arial" w:eastAsia="Arial" w:hAnsi="Arial"/>
                <w:b/>
                <w:sz w:val="24"/>
              </w:rPr>
            </w:pPr>
            <w:r>
              <w:rPr>
                <w:rFonts w:ascii="Arial" w:eastAsia="Arial" w:hAnsi="Arial"/>
                <w:b/>
                <w:sz w:val="24"/>
              </w:rPr>
              <w:t>POINT ANNUEL</w:t>
            </w:r>
          </w:p>
        </w:tc>
      </w:tr>
      <w:tr w:rsidR="00110BB3">
        <w:trPr>
          <w:trHeight w:val="283"/>
        </w:trPr>
        <w:tc>
          <w:tcPr>
            <w:tcW w:w="4840" w:type="dxa"/>
            <w:tcBorders>
              <w:right w:val="single" w:sz="8" w:space="0" w:color="auto"/>
            </w:tcBorders>
            <w:shd w:val="clear" w:color="auto" w:fill="auto"/>
            <w:vAlign w:val="bottom"/>
          </w:tcPr>
          <w:p w:rsidR="00110BB3" w:rsidRDefault="00110BB3">
            <w:pPr>
              <w:spacing w:line="283" w:lineRule="exact"/>
              <w:jc w:val="center"/>
              <w:rPr>
                <w:rFonts w:ascii="Arial" w:eastAsia="Arial" w:hAnsi="Arial"/>
                <w:b/>
                <w:w w:val="95"/>
                <w:sz w:val="24"/>
              </w:rPr>
            </w:pPr>
            <w:r>
              <w:rPr>
                <w:rFonts w:ascii="Arial" w:eastAsia="Arial" w:hAnsi="Arial"/>
                <w:b/>
                <w:w w:val="95"/>
                <w:sz w:val="24"/>
              </w:rPr>
              <w:t>1</w:t>
            </w:r>
            <w:r>
              <w:rPr>
                <w:rFonts w:ascii="Arial" w:eastAsia="Arial" w:hAnsi="Arial"/>
                <w:b/>
                <w:w w:val="95"/>
                <w:sz w:val="32"/>
                <w:vertAlign w:val="superscript"/>
              </w:rPr>
              <w:t>ère</w:t>
            </w:r>
            <w:r>
              <w:rPr>
                <w:rFonts w:ascii="Arial" w:eastAsia="Arial" w:hAnsi="Arial"/>
                <w:b/>
                <w:w w:val="95"/>
                <w:sz w:val="24"/>
              </w:rPr>
              <w:t xml:space="preserve"> INCLUSION</w:t>
            </w:r>
          </w:p>
        </w:tc>
        <w:tc>
          <w:tcPr>
            <w:tcW w:w="4780" w:type="dxa"/>
            <w:shd w:val="clear" w:color="auto" w:fill="auto"/>
            <w:vAlign w:val="bottom"/>
          </w:tcPr>
          <w:p w:rsidR="00110BB3" w:rsidRDefault="00110BB3">
            <w:pPr>
              <w:spacing w:line="0" w:lineRule="atLeast"/>
              <w:rPr>
                <w:rFonts w:ascii="Times New Roman" w:eastAsia="Times New Roman" w:hAnsi="Times New Roman"/>
                <w:sz w:val="24"/>
              </w:rPr>
            </w:pPr>
          </w:p>
        </w:tc>
      </w:tr>
      <w:tr w:rsidR="00110BB3">
        <w:trPr>
          <w:trHeight w:val="157"/>
        </w:trPr>
        <w:tc>
          <w:tcPr>
            <w:tcW w:w="4840" w:type="dxa"/>
            <w:tcBorders>
              <w:bottom w:val="single" w:sz="8" w:space="0" w:color="auto"/>
              <w:right w:val="single" w:sz="8" w:space="0" w:color="auto"/>
            </w:tcBorders>
            <w:shd w:val="clear" w:color="auto" w:fill="auto"/>
            <w:vAlign w:val="bottom"/>
          </w:tcPr>
          <w:p w:rsidR="00110BB3" w:rsidRDefault="00110BB3">
            <w:pPr>
              <w:spacing w:line="0" w:lineRule="atLeast"/>
              <w:rPr>
                <w:rFonts w:ascii="Times New Roman" w:eastAsia="Times New Roman" w:hAnsi="Times New Roman"/>
                <w:sz w:val="13"/>
              </w:rPr>
            </w:pPr>
          </w:p>
        </w:tc>
        <w:tc>
          <w:tcPr>
            <w:tcW w:w="4780" w:type="dxa"/>
            <w:tcBorders>
              <w:bottom w:val="single" w:sz="8" w:space="0" w:color="auto"/>
            </w:tcBorders>
            <w:shd w:val="clear" w:color="auto" w:fill="auto"/>
            <w:vAlign w:val="bottom"/>
          </w:tcPr>
          <w:p w:rsidR="00110BB3" w:rsidRDefault="00110BB3">
            <w:pPr>
              <w:spacing w:line="0" w:lineRule="atLeast"/>
              <w:rPr>
                <w:rFonts w:ascii="Times New Roman" w:eastAsia="Times New Roman" w:hAnsi="Times New Roman"/>
                <w:sz w:val="13"/>
              </w:rPr>
            </w:pPr>
          </w:p>
        </w:tc>
      </w:tr>
      <w:tr w:rsidR="00110BB3">
        <w:trPr>
          <w:trHeight w:val="404"/>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CONTEXTE</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DATE</w:t>
            </w:r>
          </w:p>
        </w:tc>
      </w:tr>
      <w:tr w:rsidR="00110BB3">
        <w:trPr>
          <w:trHeight w:val="398"/>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IDENTIFICATION DU PATIENT</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sz w:val="24"/>
              </w:rPr>
            </w:pPr>
            <w:r>
              <w:rPr>
                <w:rFonts w:ascii="Times New Roman" w:eastAsia="Times New Roman" w:hAnsi="Times New Roman"/>
                <w:sz w:val="24"/>
              </w:rPr>
              <w:t>CONTEXTE</w:t>
            </w:r>
          </w:p>
        </w:tc>
      </w:tr>
      <w:tr w:rsidR="00110BB3">
        <w:trPr>
          <w:trHeight w:val="401"/>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CENTRE DE SOINS</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IDENTIFICATION DU PATIENT</w:t>
            </w:r>
          </w:p>
        </w:tc>
      </w:tr>
      <w:tr w:rsidR="00110BB3">
        <w:trPr>
          <w:trHeight w:val="401"/>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DONNEES INITIALES</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sz w:val="24"/>
              </w:rPr>
            </w:pPr>
            <w:r>
              <w:rPr>
                <w:rFonts w:ascii="Times New Roman" w:eastAsia="Times New Roman" w:hAnsi="Times New Roman"/>
                <w:sz w:val="24"/>
              </w:rPr>
              <w:t>CENTRE DE SOINS</w:t>
            </w:r>
          </w:p>
        </w:tc>
      </w:tr>
      <w:tr w:rsidR="00110BB3">
        <w:trPr>
          <w:trHeight w:val="398"/>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ETAT CLINIQUE</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ETAT CLINIQUE</w:t>
            </w:r>
          </w:p>
        </w:tc>
      </w:tr>
      <w:tr w:rsidR="00110BB3">
        <w:trPr>
          <w:trHeight w:val="401"/>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ITEMS PEDIATRIQUES</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ITEMS PEDIATRIQUES</w:t>
            </w:r>
          </w:p>
        </w:tc>
      </w:tr>
      <w:tr w:rsidR="00110BB3">
        <w:trPr>
          <w:trHeight w:val="401"/>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sz w:val="24"/>
              </w:rPr>
            </w:pPr>
            <w:r>
              <w:rPr>
                <w:rFonts w:ascii="Times New Roman" w:eastAsia="Times New Roman" w:hAnsi="Times New Roman"/>
                <w:sz w:val="24"/>
              </w:rPr>
              <w:t>TRAITEMENT</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TRAITEMENT</w:t>
            </w:r>
          </w:p>
        </w:tc>
      </w:tr>
      <w:tr w:rsidR="00110BB3">
        <w:trPr>
          <w:trHeight w:val="186"/>
        </w:trPr>
        <w:tc>
          <w:tcPr>
            <w:tcW w:w="4840" w:type="dxa"/>
            <w:tcBorders>
              <w:bottom w:val="single" w:sz="8" w:space="0" w:color="auto"/>
              <w:right w:val="single" w:sz="8" w:space="0" w:color="auto"/>
            </w:tcBorders>
            <w:shd w:val="clear" w:color="auto" w:fill="auto"/>
            <w:vAlign w:val="bottom"/>
          </w:tcPr>
          <w:p w:rsidR="00110BB3" w:rsidRDefault="00110BB3">
            <w:pPr>
              <w:spacing w:line="0" w:lineRule="atLeast"/>
              <w:rPr>
                <w:rFonts w:ascii="Times New Roman" w:eastAsia="Times New Roman" w:hAnsi="Times New Roman"/>
                <w:sz w:val="16"/>
              </w:rPr>
            </w:pPr>
          </w:p>
        </w:tc>
        <w:tc>
          <w:tcPr>
            <w:tcW w:w="4780" w:type="dxa"/>
            <w:tcBorders>
              <w:bottom w:val="single" w:sz="8" w:space="0" w:color="auto"/>
            </w:tcBorders>
            <w:shd w:val="clear" w:color="auto" w:fill="auto"/>
            <w:vAlign w:val="bottom"/>
          </w:tcPr>
          <w:p w:rsidR="00110BB3" w:rsidRDefault="00110BB3">
            <w:pPr>
              <w:spacing w:line="0" w:lineRule="atLeast"/>
              <w:rPr>
                <w:rFonts w:ascii="Times New Roman" w:eastAsia="Times New Roman" w:hAnsi="Times New Roman"/>
                <w:sz w:val="16"/>
              </w:rPr>
            </w:pPr>
          </w:p>
        </w:tc>
      </w:tr>
    </w:tbl>
    <w:p w:rsidR="00110BB3" w:rsidRDefault="00110BB3">
      <w:pPr>
        <w:spacing w:line="381"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840"/>
        <w:gridCol w:w="4780"/>
      </w:tblGrid>
      <w:tr w:rsidR="00110BB3">
        <w:trPr>
          <w:trHeight w:val="376"/>
        </w:trPr>
        <w:tc>
          <w:tcPr>
            <w:tcW w:w="4840" w:type="dxa"/>
            <w:tcBorders>
              <w:top w:val="single" w:sz="8" w:space="0" w:color="auto"/>
              <w:right w:val="single" w:sz="8" w:space="0" w:color="auto"/>
            </w:tcBorders>
            <w:shd w:val="clear" w:color="auto" w:fill="auto"/>
            <w:vAlign w:val="bottom"/>
          </w:tcPr>
          <w:p w:rsidR="00110BB3" w:rsidRDefault="00110BB3">
            <w:pPr>
              <w:spacing w:line="0" w:lineRule="atLeast"/>
              <w:jc w:val="center"/>
              <w:rPr>
                <w:rFonts w:ascii="Arial" w:eastAsia="Arial" w:hAnsi="Arial"/>
                <w:b/>
                <w:sz w:val="24"/>
              </w:rPr>
            </w:pPr>
            <w:r>
              <w:rPr>
                <w:rFonts w:ascii="Arial" w:eastAsia="Arial" w:hAnsi="Arial"/>
                <w:b/>
                <w:sz w:val="24"/>
              </w:rPr>
              <w:t>CHANGEMENT DE TRAITEMENT</w:t>
            </w:r>
          </w:p>
        </w:tc>
        <w:tc>
          <w:tcPr>
            <w:tcW w:w="4780" w:type="dxa"/>
            <w:tcBorders>
              <w:top w:val="single" w:sz="8" w:space="0" w:color="auto"/>
            </w:tcBorders>
            <w:shd w:val="clear" w:color="auto" w:fill="auto"/>
            <w:vAlign w:val="bottom"/>
          </w:tcPr>
          <w:p w:rsidR="00110BB3" w:rsidRDefault="00110BB3">
            <w:pPr>
              <w:spacing w:line="0" w:lineRule="atLeast"/>
              <w:jc w:val="center"/>
              <w:rPr>
                <w:rFonts w:ascii="Arial" w:eastAsia="Arial" w:hAnsi="Arial"/>
                <w:b/>
                <w:sz w:val="24"/>
              </w:rPr>
            </w:pPr>
            <w:r>
              <w:rPr>
                <w:rFonts w:ascii="Arial" w:eastAsia="Arial" w:hAnsi="Arial"/>
                <w:b/>
                <w:sz w:val="24"/>
              </w:rPr>
              <w:t>DECES / SORTIE DE TRAITEMENT</w:t>
            </w:r>
          </w:p>
        </w:tc>
      </w:tr>
      <w:tr w:rsidR="00110BB3">
        <w:trPr>
          <w:trHeight w:val="234"/>
        </w:trPr>
        <w:tc>
          <w:tcPr>
            <w:tcW w:w="4840" w:type="dxa"/>
            <w:tcBorders>
              <w:bottom w:val="single" w:sz="8" w:space="0" w:color="auto"/>
              <w:right w:val="single" w:sz="8" w:space="0" w:color="auto"/>
            </w:tcBorders>
            <w:shd w:val="clear" w:color="auto" w:fill="auto"/>
            <w:vAlign w:val="bottom"/>
          </w:tcPr>
          <w:p w:rsidR="00110BB3" w:rsidRDefault="00110BB3">
            <w:pPr>
              <w:spacing w:line="0" w:lineRule="atLeast"/>
              <w:rPr>
                <w:rFonts w:ascii="Times New Roman" w:eastAsia="Times New Roman" w:hAnsi="Times New Roman"/>
              </w:rPr>
            </w:pPr>
          </w:p>
        </w:tc>
        <w:tc>
          <w:tcPr>
            <w:tcW w:w="4780" w:type="dxa"/>
            <w:tcBorders>
              <w:bottom w:val="single" w:sz="8" w:space="0" w:color="auto"/>
            </w:tcBorders>
            <w:shd w:val="clear" w:color="auto" w:fill="auto"/>
            <w:vAlign w:val="bottom"/>
          </w:tcPr>
          <w:p w:rsidR="00110BB3" w:rsidRDefault="00110BB3">
            <w:pPr>
              <w:spacing w:line="0" w:lineRule="atLeast"/>
              <w:rPr>
                <w:rFonts w:ascii="Times New Roman" w:eastAsia="Times New Roman" w:hAnsi="Times New Roman"/>
              </w:rPr>
            </w:pPr>
          </w:p>
        </w:tc>
      </w:tr>
      <w:tr w:rsidR="00110BB3">
        <w:trPr>
          <w:trHeight w:val="404"/>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CONTEXTE</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sz w:val="24"/>
              </w:rPr>
            </w:pPr>
            <w:r>
              <w:rPr>
                <w:rFonts w:ascii="Times New Roman" w:eastAsia="Times New Roman" w:hAnsi="Times New Roman"/>
                <w:sz w:val="24"/>
              </w:rPr>
              <w:t>CONTEXTE</w:t>
            </w:r>
          </w:p>
        </w:tc>
      </w:tr>
      <w:tr w:rsidR="00110BB3">
        <w:trPr>
          <w:trHeight w:val="401"/>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IDENTIFICATION DU PATIENT</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IDENTIFICATION DU PATIENT</w:t>
            </w:r>
          </w:p>
        </w:tc>
      </w:tr>
      <w:tr w:rsidR="00110BB3">
        <w:trPr>
          <w:trHeight w:val="398"/>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CENTRE DE SOINS</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CENTRES DE SOINS</w:t>
            </w:r>
          </w:p>
        </w:tc>
      </w:tr>
      <w:tr w:rsidR="00110BB3">
        <w:trPr>
          <w:trHeight w:val="401"/>
        </w:trPr>
        <w:tc>
          <w:tcPr>
            <w:tcW w:w="4840" w:type="dxa"/>
            <w:tcBorders>
              <w:right w:val="single" w:sz="8" w:space="0" w:color="auto"/>
            </w:tcBorders>
            <w:shd w:val="clear" w:color="auto" w:fill="auto"/>
            <w:vAlign w:val="bottom"/>
          </w:tcPr>
          <w:p w:rsidR="00110BB3" w:rsidRDefault="00110BB3">
            <w:pPr>
              <w:spacing w:line="0" w:lineRule="atLeast"/>
              <w:jc w:val="center"/>
              <w:rPr>
                <w:rFonts w:ascii="Times New Roman" w:eastAsia="Times New Roman" w:hAnsi="Times New Roman"/>
                <w:sz w:val="24"/>
              </w:rPr>
            </w:pPr>
            <w:r>
              <w:rPr>
                <w:rFonts w:ascii="Times New Roman" w:eastAsia="Times New Roman" w:hAnsi="Times New Roman"/>
                <w:sz w:val="24"/>
              </w:rPr>
              <w:t>TRAITEMENT</w:t>
            </w:r>
          </w:p>
        </w:tc>
        <w:tc>
          <w:tcPr>
            <w:tcW w:w="4780" w:type="dxa"/>
            <w:shd w:val="clear" w:color="auto" w:fill="auto"/>
            <w:vAlign w:val="bottom"/>
          </w:tcPr>
          <w:p w:rsidR="00110BB3" w:rsidRDefault="00110BB3">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EVENEMENTS</w:t>
            </w:r>
          </w:p>
        </w:tc>
      </w:tr>
      <w:tr w:rsidR="00110BB3">
        <w:trPr>
          <w:trHeight w:val="188"/>
        </w:trPr>
        <w:tc>
          <w:tcPr>
            <w:tcW w:w="4840" w:type="dxa"/>
            <w:tcBorders>
              <w:bottom w:val="single" w:sz="8" w:space="0" w:color="auto"/>
              <w:right w:val="single" w:sz="8" w:space="0" w:color="auto"/>
            </w:tcBorders>
            <w:shd w:val="clear" w:color="auto" w:fill="auto"/>
            <w:vAlign w:val="bottom"/>
          </w:tcPr>
          <w:p w:rsidR="00110BB3" w:rsidRDefault="00110BB3">
            <w:pPr>
              <w:spacing w:line="0" w:lineRule="atLeast"/>
              <w:rPr>
                <w:rFonts w:ascii="Times New Roman" w:eastAsia="Times New Roman" w:hAnsi="Times New Roman"/>
                <w:sz w:val="16"/>
              </w:rPr>
            </w:pPr>
          </w:p>
        </w:tc>
        <w:tc>
          <w:tcPr>
            <w:tcW w:w="4780" w:type="dxa"/>
            <w:tcBorders>
              <w:bottom w:val="single" w:sz="8" w:space="0" w:color="auto"/>
            </w:tcBorders>
            <w:shd w:val="clear" w:color="auto" w:fill="auto"/>
            <w:vAlign w:val="bottom"/>
          </w:tcPr>
          <w:p w:rsidR="00110BB3" w:rsidRDefault="00110BB3">
            <w:pPr>
              <w:spacing w:line="0" w:lineRule="atLeast"/>
              <w:rPr>
                <w:rFonts w:ascii="Times New Roman" w:eastAsia="Times New Roman" w:hAnsi="Times New Roman"/>
                <w:sz w:val="16"/>
              </w:rPr>
            </w:pPr>
          </w:p>
        </w:tc>
      </w:tr>
    </w:tbl>
    <w:p w:rsidR="00110BB3" w:rsidRDefault="00110BB3">
      <w:pPr>
        <w:rPr>
          <w:rFonts w:ascii="Times New Roman" w:eastAsia="Times New Roman" w:hAnsi="Times New Roman"/>
          <w:sz w:val="16"/>
        </w:rPr>
        <w:sectPr w:rsidR="00110BB3">
          <w:pgSz w:w="11900" w:h="16838"/>
          <w:pgMar w:top="1411" w:right="1259" w:bottom="365" w:left="1020" w:header="0" w:footer="0" w:gutter="0"/>
          <w:cols w:space="0" w:equalWidth="0">
            <w:col w:w="9620"/>
          </w:cols>
          <w:docGrid w:linePitch="360"/>
        </w:sectPr>
      </w:pPr>
    </w:p>
    <w:p w:rsidR="00110BB3" w:rsidRDefault="00110BB3">
      <w:pPr>
        <w:tabs>
          <w:tab w:val="left" w:pos="940"/>
        </w:tabs>
        <w:spacing w:line="0" w:lineRule="atLeast"/>
        <w:rPr>
          <w:color w:val="AD0101"/>
          <w:sz w:val="32"/>
        </w:rPr>
      </w:pPr>
      <w:bookmarkStart w:id="2" w:name="page3"/>
      <w:bookmarkEnd w:id="2"/>
      <w:r>
        <w:rPr>
          <w:color w:val="AD0101"/>
          <w:sz w:val="32"/>
        </w:rPr>
        <w:lastRenderedPageBreak/>
        <w:t>IV.</w:t>
      </w:r>
      <w:r>
        <w:rPr>
          <w:rFonts w:ascii="Times New Roman" w:eastAsia="Times New Roman" w:hAnsi="Times New Roman"/>
        </w:rPr>
        <w:tab/>
      </w:r>
      <w:r>
        <w:rPr>
          <w:color w:val="AD0101"/>
          <w:sz w:val="32"/>
        </w:rPr>
        <w:t>Nature des évènements</w:t>
      </w:r>
    </w:p>
    <w:p w:rsidR="00110BB3" w:rsidRDefault="00110BB3">
      <w:pPr>
        <w:spacing w:line="257" w:lineRule="exact"/>
        <w:rPr>
          <w:rFonts w:ascii="Times New Roman" w:eastAsia="Times New Roman" w:hAnsi="Times New Roman"/>
        </w:rPr>
      </w:pPr>
    </w:p>
    <w:p w:rsidR="00110BB3" w:rsidRDefault="00110BB3">
      <w:pPr>
        <w:spacing w:line="0" w:lineRule="atLeast"/>
        <w:ind w:left="240"/>
        <w:rPr>
          <w:b/>
          <w:sz w:val="28"/>
        </w:rPr>
      </w:pPr>
      <w:r>
        <w:rPr>
          <w:b/>
          <w:sz w:val="28"/>
        </w:rPr>
        <w:t>1 – Inclusion d'un nouveau patient</w:t>
      </w:r>
    </w:p>
    <w:p w:rsidR="00110BB3" w:rsidRDefault="00110BB3">
      <w:pPr>
        <w:spacing w:line="133" w:lineRule="exact"/>
        <w:rPr>
          <w:rFonts w:ascii="Times New Roman" w:eastAsia="Times New Roman" w:hAnsi="Times New Roman"/>
        </w:rPr>
      </w:pPr>
    </w:p>
    <w:p w:rsidR="00110BB3" w:rsidRDefault="00110BB3">
      <w:pPr>
        <w:spacing w:line="0" w:lineRule="atLeast"/>
        <w:ind w:left="760"/>
        <w:rPr>
          <w:rFonts w:ascii="Garamond" w:eastAsia="Garamond" w:hAnsi="Garamond"/>
          <w:sz w:val="22"/>
        </w:rPr>
      </w:pPr>
      <w:r>
        <w:rPr>
          <w:rFonts w:ascii="Garamond" w:eastAsia="Garamond" w:hAnsi="Garamond"/>
          <w:sz w:val="22"/>
        </w:rPr>
        <w:t>CREER UN NOUVEAU DOSSIER</w:t>
      </w:r>
    </w:p>
    <w:p w:rsidR="00110BB3" w:rsidRDefault="00110BB3">
      <w:pPr>
        <w:spacing w:line="391" w:lineRule="exact"/>
        <w:rPr>
          <w:rFonts w:ascii="Times New Roman" w:eastAsia="Times New Roman" w:hAnsi="Times New Roman"/>
        </w:rPr>
      </w:pPr>
    </w:p>
    <w:p w:rsidR="00110BB3" w:rsidRDefault="00110BB3">
      <w:pPr>
        <w:spacing w:line="204" w:lineRule="auto"/>
        <w:ind w:left="280" w:right="500"/>
        <w:rPr>
          <w:sz w:val="22"/>
          <w:u w:val="single"/>
        </w:rPr>
      </w:pPr>
      <w:r>
        <w:rPr>
          <w:sz w:val="22"/>
          <w:u w:val="single"/>
        </w:rPr>
        <w:t>Pour tous les patients dialysés non inclus dans la base de données du registre :</w:t>
      </w:r>
    </w:p>
    <w:p w:rsidR="00110BB3" w:rsidRDefault="00110BB3">
      <w:pPr>
        <w:spacing w:line="338" w:lineRule="exact"/>
        <w:rPr>
          <w:rFonts w:ascii="Times New Roman" w:eastAsia="Times New Roman" w:hAnsi="Times New Roman"/>
        </w:rPr>
      </w:pPr>
    </w:p>
    <w:p w:rsidR="00110BB3" w:rsidRDefault="00110BB3">
      <w:pPr>
        <w:numPr>
          <w:ilvl w:val="0"/>
          <w:numId w:val="5"/>
        </w:numPr>
        <w:tabs>
          <w:tab w:val="left" w:pos="640"/>
        </w:tabs>
        <w:spacing w:line="204" w:lineRule="auto"/>
        <w:ind w:left="280" w:hanging="4"/>
        <w:rPr>
          <w:rFonts w:ascii="Times New Roman" w:eastAsia="Times New Roman" w:hAnsi="Times New Roman"/>
          <w:sz w:val="22"/>
        </w:rPr>
      </w:pPr>
      <w:r>
        <w:rPr>
          <w:sz w:val="22"/>
        </w:rPr>
        <w:t>Nouveaux patients (premier traitement de suppléance)</w:t>
      </w:r>
    </w:p>
    <w:p w:rsidR="00110BB3" w:rsidRDefault="00110BB3">
      <w:pPr>
        <w:spacing w:line="155" w:lineRule="exact"/>
        <w:rPr>
          <w:rFonts w:ascii="Times New Roman" w:eastAsia="Times New Roman" w:hAnsi="Times New Roman"/>
          <w:sz w:val="22"/>
        </w:rPr>
      </w:pPr>
    </w:p>
    <w:p w:rsidR="00110BB3" w:rsidRDefault="00110BB3">
      <w:pPr>
        <w:numPr>
          <w:ilvl w:val="0"/>
          <w:numId w:val="5"/>
        </w:numPr>
        <w:tabs>
          <w:tab w:val="left" w:pos="640"/>
        </w:tabs>
        <w:spacing w:line="204" w:lineRule="auto"/>
        <w:ind w:left="280" w:right="760" w:hanging="4"/>
        <w:jc w:val="both"/>
        <w:rPr>
          <w:rFonts w:ascii="Times New Roman" w:eastAsia="Times New Roman" w:hAnsi="Times New Roman"/>
          <w:sz w:val="22"/>
        </w:rPr>
      </w:pPr>
      <w:r>
        <w:rPr>
          <w:sz w:val="22"/>
        </w:rPr>
        <w:t>Ensemble des patients dialysés au démarrage du registre dans un centre</w:t>
      </w:r>
    </w:p>
    <w:p w:rsidR="00110BB3" w:rsidRDefault="00110BB3">
      <w:pPr>
        <w:spacing w:line="101" w:lineRule="exact"/>
        <w:rPr>
          <w:rFonts w:ascii="Times New Roman" w:eastAsia="Times New Roman" w:hAnsi="Times New Roman"/>
          <w:sz w:val="22"/>
        </w:rPr>
      </w:pPr>
    </w:p>
    <w:p w:rsidR="00110BB3" w:rsidRPr="00DA59D3" w:rsidRDefault="00DA59D3">
      <w:pPr>
        <w:numPr>
          <w:ilvl w:val="0"/>
          <w:numId w:val="5"/>
        </w:numPr>
        <w:tabs>
          <w:tab w:val="left" w:pos="640"/>
        </w:tabs>
        <w:spacing w:line="0" w:lineRule="atLeast"/>
        <w:ind w:left="640" w:hanging="364"/>
        <w:rPr>
          <w:rFonts w:ascii="Times New Roman" w:eastAsia="Times New Roman" w:hAnsi="Times New Roman"/>
          <w:sz w:val="22"/>
        </w:rPr>
      </w:pPr>
      <w:r w:rsidRPr="00DA59D3">
        <w:rPr>
          <w:b/>
          <w:sz w:val="22"/>
        </w:rPr>
        <w:t>Dialysés tran</w:t>
      </w:r>
      <w:r w:rsidR="00110BB3" w:rsidRPr="00DA59D3">
        <w:rPr>
          <w:b/>
          <w:sz w:val="22"/>
        </w:rPr>
        <w:t>sférés d’u</w:t>
      </w:r>
      <w:r w:rsidRPr="00DA59D3">
        <w:rPr>
          <w:b/>
          <w:sz w:val="22"/>
        </w:rPr>
        <w:t>n  cen</w:t>
      </w:r>
      <w:r w:rsidR="00110BB3" w:rsidRPr="00DA59D3">
        <w:rPr>
          <w:b/>
          <w:sz w:val="22"/>
        </w:rPr>
        <w:t>tre</w:t>
      </w:r>
      <w:r w:rsidR="00110BB3" w:rsidRPr="00DA59D3">
        <w:rPr>
          <w:sz w:val="22"/>
        </w:rPr>
        <w:t xml:space="preserve">  </w:t>
      </w:r>
      <w:r w:rsidRPr="00DA59D3">
        <w:rPr>
          <w:sz w:val="22"/>
        </w:rPr>
        <w:t>n</w:t>
      </w:r>
      <w:r w:rsidR="00110BB3" w:rsidRPr="00DA59D3">
        <w:rPr>
          <w:sz w:val="22"/>
        </w:rPr>
        <w:t>e</w:t>
      </w:r>
    </w:p>
    <w:p w:rsidR="00110BB3" w:rsidRPr="00DA59D3" w:rsidRDefault="00110BB3">
      <w:pPr>
        <w:spacing w:line="50" w:lineRule="exact"/>
        <w:rPr>
          <w:rFonts w:ascii="Times New Roman" w:eastAsia="Times New Roman" w:hAnsi="Times New Roman"/>
        </w:rPr>
      </w:pPr>
    </w:p>
    <w:p w:rsidR="00110BB3" w:rsidRPr="00DA59D3" w:rsidRDefault="00110BB3">
      <w:pPr>
        <w:spacing w:line="217" w:lineRule="auto"/>
        <w:ind w:left="280" w:right="600"/>
        <w:rPr>
          <w:sz w:val="22"/>
        </w:rPr>
      </w:pPr>
      <w:r w:rsidRPr="00DA59D3">
        <w:rPr>
          <w:sz w:val="22"/>
        </w:rPr>
        <w:t xml:space="preserve">participant pas au registre ou de </w:t>
      </w:r>
      <w:r w:rsidR="00DA59D3">
        <w:rPr>
          <w:sz w:val="22"/>
        </w:rPr>
        <w:t>l’étran</w:t>
      </w:r>
      <w:r w:rsidRPr="00DA59D3">
        <w:rPr>
          <w:sz w:val="22"/>
        </w:rPr>
        <w:t>ger</w:t>
      </w:r>
    </w:p>
    <w:p w:rsidR="00110BB3" w:rsidRDefault="00110BB3">
      <w:pPr>
        <w:spacing w:line="129" w:lineRule="exact"/>
        <w:rPr>
          <w:rFonts w:ascii="Times New Roman" w:eastAsia="Times New Roman" w:hAnsi="Times New Roman"/>
        </w:rPr>
      </w:pPr>
    </w:p>
    <w:p w:rsidR="00110BB3" w:rsidRDefault="00110BB3">
      <w:pPr>
        <w:numPr>
          <w:ilvl w:val="0"/>
          <w:numId w:val="6"/>
        </w:numPr>
        <w:tabs>
          <w:tab w:val="left" w:pos="640"/>
        </w:tabs>
        <w:spacing w:line="204" w:lineRule="auto"/>
        <w:ind w:left="280" w:right="520" w:hanging="4"/>
        <w:rPr>
          <w:rFonts w:ascii="Times New Roman" w:eastAsia="Times New Roman" w:hAnsi="Times New Roman"/>
          <w:sz w:val="22"/>
        </w:rPr>
      </w:pPr>
      <w:r>
        <w:rPr>
          <w:sz w:val="22"/>
        </w:rPr>
        <w:t>Retour de greffe (patients non inclus dans le registre avant la greffe)</w:t>
      </w:r>
    </w:p>
    <w:p w:rsidR="00110BB3" w:rsidRDefault="00110BB3">
      <w:pPr>
        <w:spacing w:line="330" w:lineRule="exact"/>
        <w:rPr>
          <w:rFonts w:ascii="Times New Roman" w:eastAsia="Times New Roman" w:hAnsi="Times New Roman"/>
        </w:rPr>
      </w:pPr>
    </w:p>
    <w:p w:rsidR="00110BB3" w:rsidRDefault="00110BB3">
      <w:pPr>
        <w:spacing w:line="0" w:lineRule="atLeast"/>
        <w:ind w:left="280"/>
        <w:rPr>
          <w:sz w:val="22"/>
          <w:u w:val="single"/>
        </w:rPr>
      </w:pPr>
      <w:r>
        <w:rPr>
          <w:sz w:val="22"/>
          <w:u w:val="single"/>
        </w:rPr>
        <w:t>Informations à recueillir</w:t>
      </w:r>
    </w:p>
    <w:p w:rsidR="00110BB3" w:rsidRDefault="00110BB3">
      <w:pPr>
        <w:spacing w:line="200" w:lineRule="exact"/>
        <w:rPr>
          <w:rFonts w:ascii="Times New Roman" w:eastAsia="Times New Roman" w:hAnsi="Times New Roman"/>
        </w:rPr>
      </w:pPr>
      <w:r>
        <w:rPr>
          <w:sz w:val="22"/>
          <w:u w:val="single"/>
        </w:rPr>
        <w:br w:type="column"/>
      </w:r>
    </w:p>
    <w:p w:rsidR="00110BB3" w:rsidRDefault="00110BB3">
      <w:pPr>
        <w:spacing w:line="200" w:lineRule="exact"/>
        <w:rPr>
          <w:rFonts w:ascii="Times New Roman" w:eastAsia="Times New Roman" w:hAnsi="Times New Roman"/>
        </w:rPr>
      </w:pPr>
    </w:p>
    <w:p w:rsidR="00110BB3" w:rsidRDefault="00110BB3">
      <w:pPr>
        <w:spacing w:line="200" w:lineRule="exact"/>
        <w:rPr>
          <w:rFonts w:ascii="Times New Roman" w:eastAsia="Times New Roman" w:hAnsi="Times New Roman"/>
        </w:rPr>
      </w:pPr>
    </w:p>
    <w:p w:rsidR="00110BB3" w:rsidRDefault="00110BB3">
      <w:pPr>
        <w:spacing w:line="200" w:lineRule="exact"/>
        <w:rPr>
          <w:rFonts w:ascii="Times New Roman" w:eastAsia="Times New Roman" w:hAnsi="Times New Roman"/>
        </w:rPr>
      </w:pPr>
    </w:p>
    <w:p w:rsidR="00110BB3" w:rsidRDefault="00110BB3">
      <w:pPr>
        <w:spacing w:line="337" w:lineRule="exact"/>
        <w:rPr>
          <w:rFonts w:ascii="Times New Roman" w:eastAsia="Times New Roman" w:hAnsi="Times New Roman"/>
        </w:rPr>
      </w:pPr>
    </w:p>
    <w:p w:rsidR="00110BB3" w:rsidRDefault="00110BB3">
      <w:pPr>
        <w:spacing w:line="0" w:lineRule="atLeast"/>
        <w:ind w:left="100"/>
        <w:rPr>
          <w:rFonts w:ascii="Garamond" w:eastAsia="Garamond" w:hAnsi="Garamond"/>
          <w:sz w:val="22"/>
        </w:rPr>
      </w:pPr>
      <w:r>
        <w:rPr>
          <w:rFonts w:ascii="Garamond" w:eastAsia="Garamond" w:hAnsi="Garamond"/>
          <w:sz w:val="22"/>
        </w:rPr>
        <w:t>NE PAS CREER DE NOUVEAU DOSSIER</w:t>
      </w:r>
    </w:p>
    <w:p w:rsidR="00110BB3" w:rsidRDefault="00110BB3">
      <w:pPr>
        <w:spacing w:line="391" w:lineRule="exact"/>
        <w:rPr>
          <w:rFonts w:ascii="Times New Roman" w:eastAsia="Times New Roman" w:hAnsi="Times New Roman"/>
        </w:rPr>
      </w:pPr>
    </w:p>
    <w:p w:rsidR="00110BB3" w:rsidRDefault="00110BB3">
      <w:pPr>
        <w:spacing w:line="205" w:lineRule="auto"/>
        <w:ind w:right="540"/>
        <w:rPr>
          <w:sz w:val="22"/>
          <w:u w:val="single"/>
        </w:rPr>
      </w:pPr>
      <w:r>
        <w:rPr>
          <w:sz w:val="22"/>
          <w:u w:val="single"/>
        </w:rPr>
        <w:t>Pour les patients déjà inclus dans la base de données du registre :</w:t>
      </w:r>
    </w:p>
    <w:p w:rsidR="00110BB3" w:rsidRDefault="00110BB3">
      <w:pPr>
        <w:spacing w:line="281" w:lineRule="exact"/>
        <w:rPr>
          <w:rFonts w:ascii="Times New Roman" w:eastAsia="Times New Roman" w:hAnsi="Times New Roman"/>
        </w:rPr>
      </w:pPr>
    </w:p>
    <w:p w:rsidR="00110BB3" w:rsidRDefault="00DA59D3">
      <w:pPr>
        <w:numPr>
          <w:ilvl w:val="0"/>
          <w:numId w:val="7"/>
        </w:numPr>
        <w:tabs>
          <w:tab w:val="left" w:pos="360"/>
        </w:tabs>
        <w:spacing w:line="228" w:lineRule="auto"/>
        <w:ind w:right="1340" w:firstLine="9"/>
        <w:rPr>
          <w:rFonts w:ascii="Times New Roman" w:eastAsia="Times New Roman" w:hAnsi="Times New Roman"/>
          <w:sz w:val="22"/>
        </w:rPr>
      </w:pPr>
      <w:r>
        <w:rPr>
          <w:b/>
          <w:sz w:val="22"/>
        </w:rPr>
        <w:t>Dialysés tran</w:t>
      </w:r>
      <w:r w:rsidR="00110BB3">
        <w:rPr>
          <w:b/>
          <w:sz w:val="22"/>
        </w:rPr>
        <w:t>sférés d’u</w:t>
      </w:r>
      <w:r>
        <w:rPr>
          <w:b/>
          <w:sz w:val="22"/>
        </w:rPr>
        <w:t>n cen</w:t>
      </w:r>
      <w:r w:rsidR="00110BB3">
        <w:rPr>
          <w:b/>
          <w:sz w:val="22"/>
        </w:rPr>
        <w:t xml:space="preserve">tre </w:t>
      </w:r>
      <w:r w:rsidR="00110BB3">
        <w:rPr>
          <w:sz w:val="22"/>
        </w:rPr>
        <w:t>participant au registre</w:t>
      </w:r>
    </w:p>
    <w:p w:rsidR="00110BB3" w:rsidRDefault="00110BB3">
      <w:pPr>
        <w:spacing w:line="158" w:lineRule="exact"/>
        <w:rPr>
          <w:rFonts w:ascii="Times New Roman" w:eastAsia="Times New Roman" w:hAnsi="Times New Roman"/>
          <w:sz w:val="22"/>
        </w:rPr>
      </w:pPr>
    </w:p>
    <w:p w:rsidR="00110BB3" w:rsidRDefault="00110BB3">
      <w:pPr>
        <w:numPr>
          <w:ilvl w:val="0"/>
          <w:numId w:val="7"/>
        </w:numPr>
        <w:tabs>
          <w:tab w:val="left" w:pos="360"/>
        </w:tabs>
        <w:spacing w:line="204" w:lineRule="auto"/>
        <w:ind w:right="740" w:firstLine="9"/>
        <w:rPr>
          <w:rFonts w:ascii="Times New Roman" w:eastAsia="Times New Roman" w:hAnsi="Times New Roman"/>
          <w:sz w:val="22"/>
        </w:rPr>
      </w:pPr>
      <w:r>
        <w:rPr>
          <w:sz w:val="22"/>
        </w:rPr>
        <w:t>Retour de greffe (patients inclus dans le registre avant la greffe)</w:t>
      </w:r>
    </w:p>
    <w:p w:rsidR="00110BB3" w:rsidRDefault="00110BB3">
      <w:pPr>
        <w:spacing w:line="200" w:lineRule="exact"/>
        <w:rPr>
          <w:rFonts w:ascii="Times New Roman" w:eastAsia="Times New Roman" w:hAnsi="Times New Roman"/>
          <w:sz w:val="22"/>
        </w:rPr>
      </w:pPr>
    </w:p>
    <w:p w:rsidR="00110BB3" w:rsidRDefault="00110BB3">
      <w:pPr>
        <w:spacing w:line="217" w:lineRule="exact"/>
        <w:rPr>
          <w:rFonts w:ascii="Times New Roman" w:eastAsia="Times New Roman" w:hAnsi="Times New Roman"/>
          <w:sz w:val="22"/>
        </w:rPr>
      </w:pPr>
    </w:p>
    <w:p w:rsidR="00110BB3" w:rsidRDefault="00110BB3">
      <w:pPr>
        <w:numPr>
          <w:ilvl w:val="0"/>
          <w:numId w:val="7"/>
        </w:numPr>
        <w:tabs>
          <w:tab w:val="left" w:pos="360"/>
        </w:tabs>
        <w:spacing w:line="211" w:lineRule="auto"/>
        <w:ind w:left="360" w:right="440" w:hanging="351"/>
        <w:rPr>
          <w:rFonts w:ascii="Times New Roman" w:eastAsia="Times New Roman" w:hAnsi="Times New Roman"/>
          <w:sz w:val="22"/>
        </w:rPr>
      </w:pPr>
      <w:r>
        <w:rPr>
          <w:sz w:val="22"/>
          <w:u w:val="single"/>
        </w:rPr>
        <w:t>Greffe préemptive</w:t>
      </w:r>
      <w:r>
        <w:rPr>
          <w:sz w:val="22"/>
        </w:rPr>
        <w:t xml:space="preserve"> (patient inclus dans </w:t>
      </w:r>
      <w:r>
        <w:rPr>
          <w:rFonts w:ascii="Times New Roman" w:eastAsia="Times New Roman" w:hAnsi="Times New Roman"/>
          <w:sz w:val="22"/>
        </w:rPr>
        <w:t>le</w:t>
      </w:r>
      <w:r>
        <w:rPr>
          <w:sz w:val="22"/>
        </w:rPr>
        <w:t xml:space="preserve"> </w:t>
      </w:r>
      <w:r>
        <w:rPr>
          <w:rFonts w:ascii="Times New Roman" w:eastAsia="Times New Roman" w:hAnsi="Times New Roman"/>
          <w:sz w:val="22"/>
        </w:rPr>
        <w:t>registre avant la greffe</w:t>
      </w:r>
      <w:r>
        <w:rPr>
          <w:sz w:val="22"/>
        </w:rPr>
        <w:t>)</w:t>
      </w:r>
    </w:p>
    <w:p w:rsidR="00110BB3" w:rsidRDefault="00110BB3">
      <w:pPr>
        <w:tabs>
          <w:tab w:val="left" w:pos="360"/>
        </w:tabs>
        <w:spacing w:line="211" w:lineRule="auto"/>
        <w:ind w:left="360" w:right="440" w:hanging="351"/>
        <w:rPr>
          <w:rFonts w:ascii="Times New Roman" w:eastAsia="Times New Roman" w:hAnsi="Times New Roman"/>
          <w:sz w:val="22"/>
        </w:rPr>
        <w:sectPr w:rsidR="00110BB3">
          <w:pgSz w:w="11900" w:h="16838"/>
          <w:pgMar w:top="1407" w:right="1139" w:bottom="0" w:left="1140" w:header="0" w:footer="0" w:gutter="0"/>
          <w:cols w:num="2" w:space="0" w:equalWidth="0">
            <w:col w:w="4440" w:space="720"/>
            <w:col w:w="4460"/>
          </w:cols>
          <w:docGrid w:linePitch="360"/>
        </w:sectPr>
      </w:pPr>
    </w:p>
    <w:p w:rsidR="00110BB3" w:rsidRDefault="00110BB3">
      <w:pPr>
        <w:spacing w:line="286" w:lineRule="exact"/>
        <w:rPr>
          <w:rFonts w:ascii="Times New Roman" w:eastAsia="Times New Roman" w:hAnsi="Times New Roman"/>
        </w:rPr>
      </w:pPr>
    </w:p>
    <w:p w:rsidR="00110BB3" w:rsidRDefault="00110BB3">
      <w:pPr>
        <w:spacing w:line="226" w:lineRule="auto"/>
        <w:ind w:left="560" w:right="400" w:firstLine="360"/>
        <w:rPr>
          <w:rFonts w:ascii="Garamond" w:eastAsia="Garamond" w:hAnsi="Garamond"/>
          <w:sz w:val="22"/>
        </w:rPr>
      </w:pPr>
      <w:r>
        <w:rPr>
          <w:rFonts w:ascii="Garamond" w:eastAsia="Garamond" w:hAnsi="Garamond"/>
          <w:sz w:val="22"/>
        </w:rPr>
        <w:t>Ce dossier initial comporte des informations sur les caractéristiques sociodémographiques des patients, et sur la période relative à l’initiation du traitement : cause de l’insuffisance rénale (maladie</w:t>
      </w:r>
    </w:p>
    <w:p w:rsidR="00110BB3" w:rsidRDefault="00110BB3">
      <w:pPr>
        <w:spacing w:line="28" w:lineRule="exact"/>
        <w:rPr>
          <w:rFonts w:ascii="Times New Roman" w:eastAsia="Times New Roman" w:hAnsi="Times New Roman"/>
        </w:rPr>
      </w:pPr>
    </w:p>
    <w:p w:rsidR="00110BB3" w:rsidRDefault="00110BB3">
      <w:pPr>
        <w:spacing w:line="226" w:lineRule="auto"/>
        <w:ind w:left="560" w:right="400"/>
        <w:rPr>
          <w:rFonts w:ascii="Garamond" w:eastAsia="Garamond" w:hAnsi="Garamond"/>
          <w:sz w:val="22"/>
        </w:rPr>
      </w:pPr>
      <w:r>
        <w:rPr>
          <w:rFonts w:ascii="Garamond" w:eastAsia="Garamond" w:hAnsi="Garamond"/>
          <w:sz w:val="22"/>
        </w:rPr>
        <w:t>initiale), données biologiques et activité du patient au début du traitement ainsi que des informations sur l’état du patient : données biocliniques, comorbidités, handicaps, modalités de traitement, des</w:t>
      </w:r>
    </w:p>
    <w:p w:rsidR="00110BB3" w:rsidRDefault="00110BB3">
      <w:pPr>
        <w:spacing w:line="235" w:lineRule="auto"/>
        <w:ind w:left="560"/>
        <w:rPr>
          <w:rFonts w:ascii="Garamond" w:eastAsia="Garamond" w:hAnsi="Garamond"/>
          <w:sz w:val="22"/>
        </w:rPr>
      </w:pPr>
      <w:r>
        <w:rPr>
          <w:rFonts w:ascii="Garamond" w:eastAsia="Garamond" w:hAnsi="Garamond"/>
          <w:sz w:val="22"/>
        </w:rPr>
        <w:t>informations complémentaires spécifiques pour les malades pédiatriques concernant la scolarité.</w:t>
      </w:r>
    </w:p>
    <w:p w:rsidR="00110BB3" w:rsidRDefault="00110BB3">
      <w:pPr>
        <w:spacing w:line="224" w:lineRule="exact"/>
        <w:rPr>
          <w:rFonts w:ascii="Times New Roman" w:eastAsia="Times New Roman" w:hAnsi="Times New Roman"/>
        </w:rPr>
      </w:pPr>
    </w:p>
    <w:p w:rsidR="00110BB3" w:rsidRDefault="00110BB3">
      <w:pPr>
        <w:spacing w:line="0" w:lineRule="atLeast"/>
        <w:ind w:left="280"/>
        <w:rPr>
          <w:b/>
          <w:color w:val="AD0101"/>
          <w:sz w:val="28"/>
        </w:rPr>
      </w:pPr>
      <w:r>
        <w:rPr>
          <w:b/>
          <w:color w:val="AD0101"/>
          <w:sz w:val="28"/>
        </w:rPr>
        <w:t>2 – Changement de traitement</w:t>
      </w:r>
    </w:p>
    <w:p w:rsidR="00110BB3" w:rsidRDefault="00110BB3">
      <w:pPr>
        <w:spacing w:line="133" w:lineRule="exact"/>
        <w:rPr>
          <w:rFonts w:ascii="Times New Roman" w:eastAsia="Times New Roman" w:hAnsi="Times New Roman"/>
        </w:rPr>
      </w:pPr>
    </w:p>
    <w:tbl>
      <w:tblPr>
        <w:tblW w:w="0" w:type="auto"/>
        <w:tblInd w:w="280" w:type="dxa"/>
        <w:tblLayout w:type="fixed"/>
        <w:tblCellMar>
          <w:top w:w="0" w:type="dxa"/>
          <w:left w:w="0" w:type="dxa"/>
          <w:bottom w:w="0" w:type="dxa"/>
          <w:right w:w="0" w:type="dxa"/>
        </w:tblCellMar>
        <w:tblLook w:val="0000" w:firstRow="0" w:lastRow="0" w:firstColumn="0" w:lastColumn="0" w:noHBand="0" w:noVBand="0"/>
      </w:tblPr>
      <w:tblGrid>
        <w:gridCol w:w="1180"/>
        <w:gridCol w:w="700"/>
        <w:gridCol w:w="2260"/>
        <w:gridCol w:w="2140"/>
        <w:gridCol w:w="1020"/>
        <w:gridCol w:w="2040"/>
      </w:tblGrid>
      <w:tr w:rsidR="00110BB3">
        <w:trPr>
          <w:trHeight w:val="248"/>
        </w:trPr>
        <w:tc>
          <w:tcPr>
            <w:tcW w:w="1180" w:type="dxa"/>
            <w:shd w:val="clear" w:color="auto" w:fill="auto"/>
            <w:vAlign w:val="bottom"/>
          </w:tcPr>
          <w:p w:rsidR="00110BB3" w:rsidRDefault="00110BB3">
            <w:pPr>
              <w:spacing w:line="0" w:lineRule="atLeast"/>
              <w:rPr>
                <w:rFonts w:ascii="Times New Roman" w:eastAsia="Times New Roman" w:hAnsi="Times New Roman"/>
                <w:sz w:val="21"/>
              </w:rPr>
            </w:pPr>
          </w:p>
        </w:tc>
        <w:tc>
          <w:tcPr>
            <w:tcW w:w="2960" w:type="dxa"/>
            <w:gridSpan w:val="2"/>
            <w:shd w:val="clear" w:color="auto" w:fill="auto"/>
            <w:vAlign w:val="bottom"/>
          </w:tcPr>
          <w:p w:rsidR="00110BB3" w:rsidRDefault="00110BB3">
            <w:pPr>
              <w:spacing w:line="0" w:lineRule="atLeast"/>
              <w:ind w:left="440"/>
              <w:rPr>
                <w:rFonts w:ascii="Garamond" w:eastAsia="Garamond" w:hAnsi="Garamond"/>
                <w:sz w:val="22"/>
              </w:rPr>
            </w:pPr>
            <w:r>
              <w:rPr>
                <w:rFonts w:ascii="Garamond" w:eastAsia="Garamond" w:hAnsi="Garamond"/>
                <w:sz w:val="22"/>
              </w:rPr>
              <w:t>DECLARER</w:t>
            </w:r>
          </w:p>
        </w:tc>
        <w:tc>
          <w:tcPr>
            <w:tcW w:w="2140" w:type="dxa"/>
            <w:shd w:val="clear" w:color="auto" w:fill="auto"/>
            <w:vAlign w:val="bottom"/>
          </w:tcPr>
          <w:p w:rsidR="00110BB3" w:rsidRDefault="00110BB3">
            <w:pPr>
              <w:spacing w:line="0" w:lineRule="atLeast"/>
              <w:rPr>
                <w:rFonts w:ascii="Times New Roman" w:eastAsia="Times New Roman" w:hAnsi="Times New Roman"/>
                <w:sz w:val="21"/>
              </w:rPr>
            </w:pPr>
          </w:p>
        </w:tc>
        <w:tc>
          <w:tcPr>
            <w:tcW w:w="3060" w:type="dxa"/>
            <w:gridSpan w:val="2"/>
            <w:shd w:val="clear" w:color="auto" w:fill="auto"/>
            <w:vAlign w:val="bottom"/>
          </w:tcPr>
          <w:p w:rsidR="00110BB3" w:rsidRDefault="00110BB3">
            <w:pPr>
              <w:spacing w:line="0" w:lineRule="atLeast"/>
              <w:ind w:left="20"/>
              <w:rPr>
                <w:rFonts w:ascii="Garamond" w:eastAsia="Garamond" w:hAnsi="Garamond"/>
                <w:sz w:val="22"/>
              </w:rPr>
            </w:pPr>
            <w:r>
              <w:rPr>
                <w:rFonts w:ascii="Garamond" w:eastAsia="Garamond" w:hAnsi="Garamond"/>
                <w:sz w:val="22"/>
              </w:rPr>
              <w:t>NE PAS DECLARER</w:t>
            </w:r>
          </w:p>
        </w:tc>
      </w:tr>
      <w:tr w:rsidR="00110BB3">
        <w:trPr>
          <w:trHeight w:val="510"/>
        </w:trPr>
        <w:tc>
          <w:tcPr>
            <w:tcW w:w="4140" w:type="dxa"/>
            <w:gridSpan w:val="3"/>
            <w:shd w:val="clear" w:color="auto" w:fill="auto"/>
            <w:vAlign w:val="bottom"/>
          </w:tcPr>
          <w:p w:rsidR="00110BB3" w:rsidRDefault="00110BB3">
            <w:pPr>
              <w:spacing w:line="0" w:lineRule="atLeast"/>
              <w:rPr>
                <w:sz w:val="22"/>
              </w:rPr>
            </w:pPr>
            <w:r>
              <w:rPr>
                <w:sz w:val="22"/>
              </w:rPr>
              <w:t>Changement définitif de traitement</w:t>
            </w:r>
          </w:p>
        </w:tc>
        <w:tc>
          <w:tcPr>
            <w:tcW w:w="5200" w:type="dxa"/>
            <w:gridSpan w:val="3"/>
            <w:shd w:val="clear" w:color="auto" w:fill="auto"/>
            <w:vAlign w:val="bottom"/>
          </w:tcPr>
          <w:p w:rsidR="00110BB3" w:rsidRDefault="00110BB3">
            <w:pPr>
              <w:spacing w:line="0" w:lineRule="atLeast"/>
              <w:ind w:left="960"/>
              <w:rPr>
                <w:color w:val="FF0000"/>
                <w:sz w:val="22"/>
              </w:rPr>
            </w:pPr>
            <w:r>
              <w:rPr>
                <w:color w:val="FF0000"/>
                <w:sz w:val="22"/>
              </w:rPr>
              <w:t>Changement temporaire (&lt; 3 mois)</w:t>
            </w:r>
          </w:p>
        </w:tc>
      </w:tr>
      <w:tr w:rsidR="00110BB3">
        <w:trPr>
          <w:trHeight w:val="24"/>
        </w:trPr>
        <w:tc>
          <w:tcPr>
            <w:tcW w:w="1180" w:type="dxa"/>
            <w:shd w:val="clear" w:color="auto" w:fill="auto"/>
            <w:vAlign w:val="bottom"/>
          </w:tcPr>
          <w:p w:rsidR="00110BB3" w:rsidRDefault="00110BB3">
            <w:pPr>
              <w:spacing w:line="0" w:lineRule="atLeast"/>
              <w:rPr>
                <w:rFonts w:ascii="Times New Roman" w:eastAsia="Times New Roman" w:hAnsi="Times New Roman"/>
                <w:sz w:val="2"/>
              </w:rPr>
            </w:pPr>
          </w:p>
        </w:tc>
        <w:tc>
          <w:tcPr>
            <w:tcW w:w="700" w:type="dxa"/>
            <w:tcBorders>
              <w:bottom w:val="single" w:sz="8" w:space="0" w:color="auto"/>
            </w:tcBorders>
            <w:shd w:val="clear" w:color="auto" w:fill="auto"/>
            <w:vAlign w:val="bottom"/>
          </w:tcPr>
          <w:p w:rsidR="00110BB3" w:rsidRDefault="00110BB3">
            <w:pPr>
              <w:spacing w:line="0" w:lineRule="atLeast"/>
              <w:rPr>
                <w:rFonts w:ascii="Times New Roman" w:eastAsia="Times New Roman" w:hAnsi="Times New Roman"/>
                <w:sz w:val="2"/>
              </w:rPr>
            </w:pPr>
          </w:p>
        </w:tc>
        <w:tc>
          <w:tcPr>
            <w:tcW w:w="2260" w:type="dxa"/>
            <w:shd w:val="clear" w:color="auto" w:fill="auto"/>
            <w:vAlign w:val="bottom"/>
          </w:tcPr>
          <w:p w:rsidR="00110BB3" w:rsidRDefault="00110BB3">
            <w:pPr>
              <w:spacing w:line="0" w:lineRule="atLeast"/>
              <w:rPr>
                <w:rFonts w:ascii="Times New Roman" w:eastAsia="Times New Roman" w:hAnsi="Times New Roman"/>
                <w:sz w:val="2"/>
              </w:rPr>
            </w:pPr>
          </w:p>
        </w:tc>
        <w:tc>
          <w:tcPr>
            <w:tcW w:w="2140" w:type="dxa"/>
            <w:shd w:val="clear" w:color="auto" w:fill="auto"/>
            <w:vAlign w:val="bottom"/>
          </w:tcPr>
          <w:p w:rsidR="00110BB3" w:rsidRDefault="00110BB3">
            <w:pPr>
              <w:spacing w:line="0" w:lineRule="atLeast"/>
              <w:rPr>
                <w:rFonts w:ascii="Times New Roman" w:eastAsia="Times New Roman" w:hAnsi="Times New Roman"/>
                <w:sz w:val="2"/>
              </w:rPr>
            </w:pPr>
          </w:p>
        </w:tc>
        <w:tc>
          <w:tcPr>
            <w:tcW w:w="1020" w:type="dxa"/>
            <w:tcBorders>
              <w:bottom w:val="single" w:sz="8" w:space="0" w:color="auto"/>
            </w:tcBorders>
            <w:shd w:val="clear" w:color="auto" w:fill="auto"/>
            <w:vAlign w:val="bottom"/>
          </w:tcPr>
          <w:p w:rsidR="00110BB3" w:rsidRDefault="00110BB3">
            <w:pPr>
              <w:spacing w:line="0" w:lineRule="atLeast"/>
              <w:rPr>
                <w:rFonts w:ascii="Times New Roman" w:eastAsia="Times New Roman" w:hAnsi="Times New Roman"/>
                <w:sz w:val="2"/>
              </w:rPr>
            </w:pPr>
          </w:p>
        </w:tc>
        <w:tc>
          <w:tcPr>
            <w:tcW w:w="2040" w:type="dxa"/>
            <w:shd w:val="clear" w:color="auto" w:fill="auto"/>
            <w:vAlign w:val="bottom"/>
          </w:tcPr>
          <w:p w:rsidR="00110BB3" w:rsidRDefault="00110BB3">
            <w:pPr>
              <w:spacing w:line="0" w:lineRule="atLeast"/>
              <w:rPr>
                <w:rFonts w:ascii="Times New Roman" w:eastAsia="Times New Roman" w:hAnsi="Times New Roman"/>
                <w:sz w:val="2"/>
              </w:rPr>
            </w:pPr>
          </w:p>
        </w:tc>
      </w:tr>
      <w:tr w:rsidR="00110BB3">
        <w:trPr>
          <w:trHeight w:val="320"/>
        </w:trPr>
        <w:tc>
          <w:tcPr>
            <w:tcW w:w="1180" w:type="dxa"/>
            <w:shd w:val="clear" w:color="auto" w:fill="auto"/>
            <w:vAlign w:val="bottom"/>
          </w:tcPr>
          <w:p w:rsidR="00110BB3" w:rsidRDefault="00110BB3">
            <w:pPr>
              <w:spacing w:line="0" w:lineRule="atLeast"/>
              <w:rPr>
                <w:rFonts w:ascii="Times New Roman" w:eastAsia="Times New Roman" w:hAnsi="Times New Roman"/>
                <w:sz w:val="24"/>
              </w:rPr>
            </w:pPr>
          </w:p>
        </w:tc>
        <w:tc>
          <w:tcPr>
            <w:tcW w:w="700" w:type="dxa"/>
            <w:shd w:val="clear" w:color="auto" w:fill="auto"/>
            <w:vAlign w:val="bottom"/>
          </w:tcPr>
          <w:p w:rsidR="00110BB3" w:rsidRDefault="00110BB3">
            <w:pPr>
              <w:spacing w:line="0" w:lineRule="atLeast"/>
              <w:rPr>
                <w:rFonts w:ascii="Times New Roman" w:eastAsia="Times New Roman" w:hAnsi="Times New Roman"/>
                <w:sz w:val="24"/>
              </w:rPr>
            </w:pPr>
          </w:p>
        </w:tc>
        <w:tc>
          <w:tcPr>
            <w:tcW w:w="2260" w:type="dxa"/>
            <w:shd w:val="clear" w:color="auto" w:fill="auto"/>
            <w:vAlign w:val="bottom"/>
          </w:tcPr>
          <w:p w:rsidR="00110BB3" w:rsidRDefault="00110BB3">
            <w:pPr>
              <w:spacing w:line="0" w:lineRule="atLeast"/>
              <w:rPr>
                <w:rFonts w:ascii="Times New Roman" w:eastAsia="Times New Roman" w:hAnsi="Times New Roman"/>
                <w:sz w:val="24"/>
              </w:rPr>
            </w:pPr>
          </w:p>
        </w:tc>
        <w:tc>
          <w:tcPr>
            <w:tcW w:w="5200" w:type="dxa"/>
            <w:gridSpan w:val="3"/>
            <w:shd w:val="clear" w:color="auto" w:fill="auto"/>
            <w:vAlign w:val="bottom"/>
          </w:tcPr>
          <w:p w:rsidR="00110BB3" w:rsidRDefault="00110BB3">
            <w:pPr>
              <w:spacing w:line="0" w:lineRule="atLeast"/>
              <w:ind w:left="960"/>
              <w:rPr>
                <w:b/>
                <w:color w:val="FF0000"/>
                <w:sz w:val="22"/>
              </w:rPr>
            </w:pPr>
            <w:r>
              <w:rPr>
                <w:color w:val="FF0000"/>
                <w:sz w:val="22"/>
              </w:rPr>
              <w:t xml:space="preserve">Hospitalisation, </w:t>
            </w:r>
            <w:r w:rsidR="00DA59D3" w:rsidRPr="00DA59D3">
              <w:rPr>
                <w:color w:val="FF0000"/>
                <w:sz w:val="22"/>
              </w:rPr>
              <w:t>repli d’une durée de moin</w:t>
            </w:r>
            <w:r w:rsidRPr="00DA59D3">
              <w:rPr>
                <w:color w:val="FF0000"/>
                <w:sz w:val="22"/>
              </w:rPr>
              <w:t>s de 3</w:t>
            </w:r>
            <w:r w:rsidR="00DA59D3">
              <w:rPr>
                <w:color w:val="FF0000"/>
                <w:sz w:val="22"/>
              </w:rPr>
              <w:t xml:space="preserve"> mois</w:t>
            </w:r>
          </w:p>
        </w:tc>
      </w:tr>
      <w:tr w:rsidR="00110BB3">
        <w:trPr>
          <w:trHeight w:val="315"/>
        </w:trPr>
        <w:tc>
          <w:tcPr>
            <w:tcW w:w="1180" w:type="dxa"/>
            <w:shd w:val="clear" w:color="auto" w:fill="auto"/>
            <w:vAlign w:val="bottom"/>
          </w:tcPr>
          <w:p w:rsidR="00110BB3" w:rsidRDefault="00110BB3">
            <w:pPr>
              <w:spacing w:line="0" w:lineRule="atLeast"/>
              <w:rPr>
                <w:rFonts w:ascii="Times New Roman" w:eastAsia="Times New Roman" w:hAnsi="Times New Roman"/>
                <w:sz w:val="24"/>
              </w:rPr>
            </w:pPr>
          </w:p>
        </w:tc>
        <w:tc>
          <w:tcPr>
            <w:tcW w:w="700" w:type="dxa"/>
            <w:shd w:val="clear" w:color="auto" w:fill="auto"/>
            <w:vAlign w:val="bottom"/>
          </w:tcPr>
          <w:p w:rsidR="00110BB3" w:rsidRDefault="00110BB3">
            <w:pPr>
              <w:spacing w:line="0" w:lineRule="atLeast"/>
              <w:rPr>
                <w:rFonts w:ascii="Times New Roman" w:eastAsia="Times New Roman" w:hAnsi="Times New Roman"/>
                <w:sz w:val="24"/>
              </w:rPr>
            </w:pPr>
          </w:p>
        </w:tc>
        <w:tc>
          <w:tcPr>
            <w:tcW w:w="2260" w:type="dxa"/>
            <w:shd w:val="clear" w:color="auto" w:fill="auto"/>
            <w:vAlign w:val="bottom"/>
          </w:tcPr>
          <w:p w:rsidR="00110BB3" w:rsidRDefault="00110BB3">
            <w:pPr>
              <w:spacing w:line="0" w:lineRule="atLeast"/>
              <w:rPr>
                <w:rFonts w:ascii="Times New Roman" w:eastAsia="Times New Roman" w:hAnsi="Times New Roman"/>
                <w:sz w:val="24"/>
              </w:rPr>
            </w:pPr>
          </w:p>
        </w:tc>
        <w:tc>
          <w:tcPr>
            <w:tcW w:w="5200" w:type="dxa"/>
            <w:gridSpan w:val="3"/>
            <w:shd w:val="clear" w:color="auto" w:fill="auto"/>
            <w:vAlign w:val="bottom"/>
          </w:tcPr>
          <w:p w:rsidR="00110BB3" w:rsidRDefault="00DA59D3">
            <w:pPr>
              <w:spacing w:line="0" w:lineRule="atLeast"/>
              <w:ind w:left="960"/>
              <w:rPr>
                <w:color w:val="FF0000"/>
                <w:sz w:val="22"/>
              </w:rPr>
            </w:pPr>
            <w:r>
              <w:rPr>
                <w:color w:val="FF0000"/>
                <w:sz w:val="22"/>
              </w:rPr>
              <w:t>Vacances</w:t>
            </w:r>
          </w:p>
        </w:tc>
      </w:tr>
      <w:tr w:rsidR="00110BB3">
        <w:trPr>
          <w:trHeight w:val="271"/>
        </w:trPr>
        <w:tc>
          <w:tcPr>
            <w:tcW w:w="1180" w:type="dxa"/>
            <w:shd w:val="clear" w:color="auto" w:fill="auto"/>
            <w:vAlign w:val="bottom"/>
          </w:tcPr>
          <w:p w:rsidR="00110BB3" w:rsidRDefault="00110BB3">
            <w:pPr>
              <w:spacing w:line="0" w:lineRule="atLeast"/>
              <w:rPr>
                <w:rFonts w:ascii="Times New Roman" w:eastAsia="Times New Roman" w:hAnsi="Times New Roman"/>
                <w:sz w:val="23"/>
              </w:rPr>
            </w:pPr>
          </w:p>
        </w:tc>
        <w:tc>
          <w:tcPr>
            <w:tcW w:w="700" w:type="dxa"/>
            <w:shd w:val="clear" w:color="auto" w:fill="auto"/>
            <w:vAlign w:val="bottom"/>
          </w:tcPr>
          <w:p w:rsidR="00110BB3" w:rsidRDefault="00110BB3">
            <w:pPr>
              <w:spacing w:line="0" w:lineRule="atLeast"/>
              <w:rPr>
                <w:rFonts w:ascii="Times New Roman" w:eastAsia="Times New Roman" w:hAnsi="Times New Roman"/>
                <w:sz w:val="23"/>
              </w:rPr>
            </w:pPr>
          </w:p>
        </w:tc>
        <w:tc>
          <w:tcPr>
            <w:tcW w:w="2260" w:type="dxa"/>
            <w:shd w:val="clear" w:color="auto" w:fill="auto"/>
            <w:vAlign w:val="bottom"/>
          </w:tcPr>
          <w:p w:rsidR="00110BB3" w:rsidRDefault="00110BB3">
            <w:pPr>
              <w:spacing w:line="0" w:lineRule="atLeast"/>
              <w:rPr>
                <w:rFonts w:ascii="Times New Roman" w:eastAsia="Times New Roman" w:hAnsi="Times New Roman"/>
                <w:sz w:val="23"/>
              </w:rPr>
            </w:pPr>
          </w:p>
        </w:tc>
        <w:tc>
          <w:tcPr>
            <w:tcW w:w="5200" w:type="dxa"/>
            <w:gridSpan w:val="3"/>
            <w:shd w:val="clear" w:color="auto" w:fill="auto"/>
            <w:vAlign w:val="bottom"/>
          </w:tcPr>
          <w:p w:rsidR="00110BB3" w:rsidRDefault="00110BB3">
            <w:pPr>
              <w:spacing w:line="0" w:lineRule="atLeast"/>
              <w:ind w:left="960"/>
              <w:rPr>
                <w:color w:val="FF0000"/>
                <w:sz w:val="22"/>
              </w:rPr>
            </w:pPr>
          </w:p>
        </w:tc>
      </w:tr>
    </w:tbl>
    <w:p w:rsidR="00110BB3" w:rsidRDefault="00110BB3">
      <w:pPr>
        <w:spacing w:line="313" w:lineRule="exact"/>
        <w:rPr>
          <w:rFonts w:ascii="Times New Roman" w:eastAsia="Times New Roman" w:hAnsi="Times New Roman"/>
        </w:rPr>
      </w:pPr>
    </w:p>
    <w:p w:rsidR="00110BB3" w:rsidRDefault="00110BB3">
      <w:pPr>
        <w:spacing w:line="0" w:lineRule="atLeast"/>
        <w:ind w:left="640"/>
        <w:rPr>
          <w:rFonts w:ascii="Garamond" w:eastAsia="Garamond" w:hAnsi="Garamond"/>
          <w:sz w:val="22"/>
        </w:rPr>
      </w:pPr>
      <w:r>
        <w:rPr>
          <w:rFonts w:ascii="Garamond" w:eastAsia="Garamond" w:hAnsi="Garamond"/>
          <w:sz w:val="22"/>
        </w:rPr>
        <w:t>Un changement définitif de modalité ou de méthode de traitement doit être déclaré par l’unité de prise</w:t>
      </w:r>
    </w:p>
    <w:p w:rsidR="00110BB3" w:rsidRDefault="00110BB3">
      <w:pPr>
        <w:spacing w:line="64" w:lineRule="exact"/>
        <w:rPr>
          <w:rFonts w:ascii="Times New Roman" w:eastAsia="Times New Roman" w:hAnsi="Times New Roman"/>
        </w:rPr>
      </w:pPr>
    </w:p>
    <w:p w:rsidR="00110BB3" w:rsidRDefault="00110BB3">
      <w:pPr>
        <w:spacing w:line="225" w:lineRule="auto"/>
        <w:ind w:left="280" w:right="260"/>
        <w:jc w:val="both"/>
        <w:rPr>
          <w:rFonts w:ascii="Garamond" w:eastAsia="Garamond" w:hAnsi="Garamond"/>
          <w:sz w:val="22"/>
        </w:rPr>
      </w:pPr>
      <w:r>
        <w:rPr>
          <w:rFonts w:ascii="Garamond" w:eastAsia="Garamond" w:hAnsi="Garamond"/>
          <w:sz w:val="22"/>
        </w:rPr>
        <w:t>en charge habituelle : démarrage de la dialyse, passage entre hémodialyse et dialyse péritonéale, le retour de greffe rénale ou de sevrage ou de l’étranger, tout changement significatif dans la dose d’hémodialyse :</w:t>
      </w:r>
    </w:p>
    <w:p w:rsidR="00110BB3" w:rsidRDefault="00110BB3">
      <w:pPr>
        <w:spacing w:line="232" w:lineRule="auto"/>
        <w:ind w:left="280"/>
        <w:rPr>
          <w:rFonts w:ascii="Garamond" w:eastAsia="Garamond" w:hAnsi="Garamond"/>
          <w:sz w:val="22"/>
        </w:rPr>
      </w:pPr>
      <w:r>
        <w:rPr>
          <w:rFonts w:ascii="Garamond" w:eastAsia="Garamond" w:hAnsi="Garamond"/>
          <w:sz w:val="22"/>
        </w:rPr>
        <w:t>changement du nombre de séances ou changement de la durée des séances de plus de 25%.</w:t>
      </w:r>
    </w:p>
    <w:p w:rsidR="00110BB3" w:rsidRDefault="00110BB3">
      <w:pPr>
        <w:spacing w:line="316" w:lineRule="exact"/>
        <w:rPr>
          <w:rFonts w:ascii="Times New Roman" w:eastAsia="Times New Roman" w:hAnsi="Times New Roman"/>
        </w:rPr>
      </w:pPr>
    </w:p>
    <w:p w:rsidR="00110BB3" w:rsidRDefault="00110BB3">
      <w:pPr>
        <w:spacing w:line="0" w:lineRule="atLeast"/>
        <w:ind w:left="1000"/>
        <w:rPr>
          <w:b/>
          <w:color w:val="AD0101"/>
          <w:sz w:val="28"/>
        </w:rPr>
      </w:pPr>
      <w:r>
        <w:rPr>
          <w:b/>
          <w:color w:val="AD0101"/>
          <w:sz w:val="28"/>
        </w:rPr>
        <w:t>Démarrage de la dialyse</w:t>
      </w:r>
    </w:p>
    <w:p w:rsidR="00110BB3" w:rsidRDefault="00110BB3">
      <w:pPr>
        <w:spacing w:line="130" w:lineRule="exact"/>
        <w:rPr>
          <w:rFonts w:ascii="Times New Roman" w:eastAsia="Times New Roman" w:hAnsi="Times New Roman"/>
        </w:rPr>
      </w:pPr>
    </w:p>
    <w:p w:rsidR="00110BB3" w:rsidRDefault="00110BB3">
      <w:pPr>
        <w:spacing w:line="279" w:lineRule="auto"/>
        <w:ind w:left="280" w:right="540" w:firstLine="720"/>
        <w:rPr>
          <w:rFonts w:ascii="Garamond" w:eastAsia="Garamond" w:hAnsi="Garamond"/>
          <w:sz w:val="22"/>
        </w:rPr>
      </w:pPr>
      <w:r>
        <w:rPr>
          <w:rFonts w:ascii="Garamond" w:eastAsia="Garamond" w:hAnsi="Garamond"/>
          <w:sz w:val="22"/>
        </w:rPr>
        <w:t>Tout démarrage de traitement par dialyse (hémodialyse ou dialyse péritonéale) doit être déclaré, que le patient soit en situation fixe ou temporaire.</w:t>
      </w:r>
    </w:p>
    <w:p w:rsidR="00110BB3" w:rsidRDefault="00110BB3">
      <w:pPr>
        <w:spacing w:line="122" w:lineRule="exact"/>
        <w:rPr>
          <w:rFonts w:ascii="Times New Roman" w:eastAsia="Times New Roman" w:hAnsi="Times New Roman"/>
        </w:rPr>
      </w:pPr>
    </w:p>
    <w:p w:rsidR="00110BB3" w:rsidRDefault="00110BB3">
      <w:pPr>
        <w:spacing w:line="0" w:lineRule="atLeast"/>
        <w:ind w:left="1000"/>
        <w:rPr>
          <w:b/>
          <w:color w:val="AD0101"/>
          <w:sz w:val="28"/>
        </w:rPr>
      </w:pPr>
      <w:r>
        <w:rPr>
          <w:b/>
          <w:color w:val="AD0101"/>
          <w:sz w:val="28"/>
        </w:rPr>
        <w:t>Greffe rénale</w:t>
      </w:r>
    </w:p>
    <w:p w:rsidR="00110BB3" w:rsidRDefault="00110BB3">
      <w:pPr>
        <w:spacing w:line="123" w:lineRule="exact"/>
        <w:rPr>
          <w:rFonts w:ascii="Times New Roman" w:eastAsia="Times New Roman" w:hAnsi="Times New Roman"/>
        </w:rPr>
      </w:pPr>
    </w:p>
    <w:p w:rsidR="00110BB3" w:rsidRDefault="00110BB3">
      <w:pPr>
        <w:spacing w:line="269" w:lineRule="auto"/>
        <w:ind w:left="280" w:right="340" w:firstLine="715"/>
        <w:rPr>
          <w:rFonts w:ascii="Garamond" w:eastAsia="Garamond" w:hAnsi="Garamond"/>
          <w:sz w:val="22"/>
        </w:rPr>
      </w:pPr>
      <w:r>
        <w:rPr>
          <w:rFonts w:ascii="Garamond" w:eastAsia="Garamond" w:hAnsi="Garamond"/>
          <w:sz w:val="22"/>
        </w:rPr>
        <w:t>Toute greffe rénale doit être déclarée, même en cas d’échec précoce. En cas de perte fonctionnelle du greffon, quelques patients bénéficient d’une retransplantation immédiate sans repasser</w:t>
      </w:r>
    </w:p>
    <w:p w:rsidR="00110BB3" w:rsidRDefault="00110BB3">
      <w:pPr>
        <w:spacing w:line="1" w:lineRule="exact"/>
        <w:rPr>
          <w:rFonts w:ascii="Times New Roman" w:eastAsia="Times New Roman" w:hAnsi="Times New Roman"/>
        </w:rPr>
      </w:pPr>
    </w:p>
    <w:p w:rsidR="00110BB3" w:rsidRDefault="00110BB3">
      <w:pPr>
        <w:spacing w:line="222" w:lineRule="auto"/>
        <w:ind w:left="280" w:right="340"/>
        <w:rPr>
          <w:rFonts w:ascii="Garamond" w:eastAsia="Garamond" w:hAnsi="Garamond"/>
          <w:sz w:val="22"/>
        </w:rPr>
      </w:pPr>
      <w:r>
        <w:rPr>
          <w:rFonts w:ascii="Garamond" w:eastAsia="Garamond" w:hAnsi="Garamond"/>
          <w:sz w:val="22"/>
        </w:rPr>
        <w:t>par la dialyse. Dans ce cas, ne pas déclarer un retour de greffe (qui signifie un retour en dialyse) ni un nouveau transfert vers la greffe.</w:t>
      </w:r>
    </w:p>
    <w:p w:rsidR="00110BB3" w:rsidRDefault="00110BB3">
      <w:pPr>
        <w:spacing w:line="200" w:lineRule="exact"/>
        <w:rPr>
          <w:rFonts w:ascii="Times New Roman" w:eastAsia="Times New Roman" w:hAnsi="Times New Roman"/>
        </w:rPr>
      </w:pPr>
    </w:p>
    <w:p w:rsidR="00110BB3" w:rsidRDefault="00110BB3">
      <w:pPr>
        <w:spacing w:line="200" w:lineRule="exact"/>
        <w:rPr>
          <w:rFonts w:ascii="Times New Roman" w:eastAsia="Times New Roman" w:hAnsi="Times New Roman"/>
        </w:rPr>
      </w:pPr>
    </w:p>
    <w:p w:rsidR="00110BB3" w:rsidRDefault="00110BB3" w:rsidP="00DC1D42">
      <w:pPr>
        <w:spacing w:line="0" w:lineRule="atLeast"/>
        <w:ind w:left="275" w:firstLine="720"/>
        <w:rPr>
          <w:b/>
          <w:color w:val="AD0101"/>
          <w:sz w:val="28"/>
        </w:rPr>
      </w:pPr>
      <w:r>
        <w:rPr>
          <w:b/>
          <w:color w:val="AD0101"/>
          <w:sz w:val="28"/>
        </w:rPr>
        <w:t>Retour de sevrage</w:t>
      </w:r>
    </w:p>
    <w:p w:rsidR="00110BB3" w:rsidRDefault="00110BB3">
      <w:pPr>
        <w:spacing w:line="0" w:lineRule="atLeast"/>
        <w:ind w:left="1000"/>
        <w:rPr>
          <w:b/>
          <w:color w:val="AD0101"/>
          <w:sz w:val="28"/>
        </w:rPr>
        <w:sectPr w:rsidR="00110BB3">
          <w:type w:val="continuous"/>
          <w:pgSz w:w="11900" w:h="16838"/>
          <w:pgMar w:top="1407" w:right="1139" w:bottom="0" w:left="1140" w:header="0" w:footer="0" w:gutter="0"/>
          <w:cols w:space="0" w:equalWidth="0">
            <w:col w:w="9620"/>
          </w:cols>
          <w:docGrid w:linePitch="360"/>
        </w:sectPr>
      </w:pPr>
    </w:p>
    <w:p w:rsidR="00110BB3" w:rsidRDefault="00110BB3">
      <w:pPr>
        <w:spacing w:line="19" w:lineRule="exact"/>
        <w:rPr>
          <w:rFonts w:ascii="Times New Roman" w:eastAsia="Times New Roman" w:hAnsi="Times New Roman"/>
        </w:rPr>
      </w:pPr>
      <w:bookmarkStart w:id="3" w:name="page4"/>
      <w:bookmarkEnd w:id="3"/>
    </w:p>
    <w:p w:rsidR="00110BB3" w:rsidRDefault="00110BB3">
      <w:pPr>
        <w:spacing w:line="222" w:lineRule="auto"/>
        <w:ind w:left="280" w:right="200" w:firstLine="715"/>
        <w:rPr>
          <w:rFonts w:ascii="Garamond" w:eastAsia="Garamond" w:hAnsi="Garamond"/>
          <w:sz w:val="22"/>
        </w:rPr>
      </w:pPr>
      <w:r>
        <w:rPr>
          <w:rFonts w:ascii="Garamond" w:eastAsia="Garamond" w:hAnsi="Garamond"/>
          <w:sz w:val="22"/>
        </w:rPr>
        <w:t>Lorsque la nouvelle dégradation de la fonction rénale nécessite un retour en dialyse, les modalités de traitement dans la nouvelle unité de prise en charge sont renseignées.</w:t>
      </w:r>
    </w:p>
    <w:p w:rsidR="00110BB3" w:rsidRDefault="00110BB3">
      <w:pPr>
        <w:spacing w:line="154" w:lineRule="exact"/>
        <w:rPr>
          <w:rFonts w:ascii="Times New Roman" w:eastAsia="Times New Roman" w:hAnsi="Times New Roman"/>
        </w:rPr>
      </w:pPr>
    </w:p>
    <w:p w:rsidR="00110BB3" w:rsidRDefault="00110BB3">
      <w:pPr>
        <w:spacing w:line="0" w:lineRule="atLeast"/>
        <w:ind w:left="1000"/>
        <w:rPr>
          <w:b/>
          <w:color w:val="AD0101"/>
          <w:sz w:val="28"/>
        </w:rPr>
      </w:pPr>
      <w:r>
        <w:rPr>
          <w:b/>
          <w:color w:val="AD0101"/>
          <w:sz w:val="28"/>
        </w:rPr>
        <w:t>Retour de greffe</w:t>
      </w:r>
    </w:p>
    <w:p w:rsidR="00110BB3" w:rsidRDefault="00110BB3">
      <w:pPr>
        <w:spacing w:line="123" w:lineRule="exact"/>
        <w:rPr>
          <w:rFonts w:ascii="Times New Roman" w:eastAsia="Times New Roman" w:hAnsi="Times New Roman"/>
        </w:rPr>
      </w:pPr>
    </w:p>
    <w:p w:rsidR="00110BB3" w:rsidRDefault="00110BB3">
      <w:pPr>
        <w:spacing w:line="253" w:lineRule="auto"/>
        <w:ind w:left="280" w:right="100" w:firstLine="715"/>
        <w:jc w:val="both"/>
        <w:rPr>
          <w:rFonts w:ascii="Garamond" w:eastAsia="Garamond" w:hAnsi="Garamond"/>
          <w:sz w:val="22"/>
        </w:rPr>
      </w:pPr>
      <w:r>
        <w:rPr>
          <w:rFonts w:ascii="Garamond" w:eastAsia="Garamond" w:hAnsi="Garamond"/>
          <w:sz w:val="22"/>
        </w:rPr>
        <w:t>Après perte de la fonction du greffon et retour en dialyse, l’état clinique est mis à jour et les modalités de traitement dans la nouvelle unité de prise en charge sont renseignées. Il convient de dater ce retour à la 1° dialyse effectuée dans le centre de dialyse chronique.</w:t>
      </w:r>
    </w:p>
    <w:p w:rsidR="00110BB3" w:rsidRDefault="00110BB3">
      <w:pPr>
        <w:spacing w:line="261" w:lineRule="exact"/>
        <w:rPr>
          <w:rFonts w:ascii="Times New Roman" w:eastAsia="Times New Roman" w:hAnsi="Times New Roman"/>
        </w:rPr>
      </w:pPr>
    </w:p>
    <w:p w:rsidR="00110BB3" w:rsidRDefault="00110BB3">
      <w:pPr>
        <w:spacing w:line="223" w:lineRule="auto"/>
        <w:ind w:left="280" w:right="100" w:firstLine="715"/>
        <w:jc w:val="both"/>
        <w:rPr>
          <w:rFonts w:ascii="Garamond" w:eastAsia="Garamond" w:hAnsi="Garamond"/>
          <w:sz w:val="22"/>
        </w:rPr>
      </w:pPr>
      <w:r>
        <w:rPr>
          <w:rFonts w:ascii="Garamond" w:eastAsia="Garamond" w:hAnsi="Garamond"/>
          <w:sz w:val="22"/>
        </w:rPr>
        <w:t>Ne sont pas concernées, les dialyses effectuées dans le centre de greffe en post-opératoire immédiat (reprise différée de la fonction du greffon).</w:t>
      </w:r>
    </w:p>
    <w:p w:rsidR="00110BB3" w:rsidRDefault="00110BB3">
      <w:pPr>
        <w:spacing w:line="179" w:lineRule="exact"/>
        <w:rPr>
          <w:rFonts w:ascii="Times New Roman" w:eastAsia="Times New Roman" w:hAnsi="Times New Roman"/>
        </w:rPr>
      </w:pPr>
    </w:p>
    <w:p w:rsidR="00110BB3" w:rsidRDefault="00C1015A">
      <w:pPr>
        <w:spacing w:line="0" w:lineRule="atLeast"/>
        <w:ind w:left="1000"/>
        <w:rPr>
          <w:b/>
          <w:color w:val="AD0101"/>
          <w:sz w:val="28"/>
        </w:rPr>
      </w:pPr>
      <w:r>
        <w:rPr>
          <w:b/>
          <w:color w:val="AD0101"/>
          <w:sz w:val="28"/>
        </w:rPr>
        <w:t>Retour de l’étranger</w:t>
      </w:r>
    </w:p>
    <w:p w:rsidR="00110BB3" w:rsidRDefault="00110BB3">
      <w:pPr>
        <w:spacing w:line="284" w:lineRule="exact"/>
        <w:rPr>
          <w:rFonts w:ascii="Times New Roman" w:eastAsia="Times New Roman" w:hAnsi="Times New Roman"/>
        </w:rPr>
      </w:pPr>
    </w:p>
    <w:p w:rsidR="00110BB3" w:rsidRDefault="00110BB3">
      <w:pPr>
        <w:spacing w:line="211" w:lineRule="auto"/>
        <w:ind w:left="280" w:right="200" w:firstLine="715"/>
        <w:rPr>
          <w:rFonts w:ascii="Garamond" w:eastAsia="Garamond" w:hAnsi="Garamond"/>
          <w:sz w:val="22"/>
        </w:rPr>
      </w:pPr>
      <w:r>
        <w:rPr>
          <w:rFonts w:ascii="Garamond" w:eastAsia="Garamond" w:hAnsi="Garamond"/>
          <w:sz w:val="22"/>
        </w:rPr>
        <w:t>En cas de retour dans une structure de dialyse participant au registre, la date de prise en charge et le traitement doivent être déclarés.</w:t>
      </w:r>
    </w:p>
    <w:p w:rsidR="00110BB3" w:rsidRDefault="00110BB3">
      <w:pPr>
        <w:spacing w:line="1" w:lineRule="exact"/>
        <w:rPr>
          <w:rFonts w:ascii="Times New Roman" w:eastAsia="Times New Roman" w:hAnsi="Times New Roman"/>
        </w:rPr>
      </w:pPr>
    </w:p>
    <w:p w:rsidR="00110BB3" w:rsidRDefault="00110BB3">
      <w:pPr>
        <w:spacing w:line="269" w:lineRule="auto"/>
        <w:ind w:left="280" w:right="540"/>
        <w:rPr>
          <w:rFonts w:ascii="Garamond" w:eastAsia="Garamond" w:hAnsi="Garamond"/>
          <w:sz w:val="22"/>
        </w:rPr>
      </w:pPr>
      <w:r>
        <w:rPr>
          <w:rFonts w:ascii="Garamond" w:eastAsia="Garamond" w:hAnsi="Garamond"/>
          <w:sz w:val="22"/>
        </w:rPr>
        <w:t>Les retours pour une période de moins de 2 mois</w:t>
      </w:r>
      <w:r>
        <w:rPr>
          <w:rFonts w:ascii="Garamond" w:eastAsia="Garamond" w:hAnsi="Garamond"/>
          <w:sz w:val="22"/>
          <w:u w:val="single"/>
        </w:rPr>
        <w:t>,</w:t>
      </w:r>
      <w:r>
        <w:rPr>
          <w:rFonts w:ascii="Garamond" w:eastAsia="Garamond" w:hAnsi="Garamond"/>
          <w:sz w:val="22"/>
        </w:rPr>
        <w:t xml:space="preserve"> ne sont pas à déclarer par l’unité de prise en charge (vacances, replis). Le patient reste déclaré dans son pays de prise en charge habituelle.</w:t>
      </w:r>
    </w:p>
    <w:p w:rsidR="00110BB3" w:rsidRDefault="00110BB3">
      <w:pPr>
        <w:spacing w:line="200" w:lineRule="exact"/>
        <w:rPr>
          <w:rFonts w:ascii="Times New Roman" w:eastAsia="Times New Roman" w:hAnsi="Times New Roman"/>
        </w:rPr>
      </w:pPr>
    </w:p>
    <w:p w:rsidR="00110BB3" w:rsidRDefault="00110BB3">
      <w:pPr>
        <w:spacing w:line="268" w:lineRule="exact"/>
        <w:rPr>
          <w:rFonts w:ascii="Times New Roman" w:eastAsia="Times New Roman" w:hAnsi="Times New Roman"/>
        </w:rPr>
      </w:pPr>
    </w:p>
    <w:p w:rsidR="00110BB3" w:rsidRDefault="00110BB3">
      <w:pPr>
        <w:spacing w:line="0" w:lineRule="atLeast"/>
        <w:ind w:left="280"/>
        <w:rPr>
          <w:b/>
          <w:sz w:val="28"/>
        </w:rPr>
      </w:pPr>
      <w:r>
        <w:rPr>
          <w:b/>
          <w:sz w:val="28"/>
        </w:rPr>
        <w:t>3 – Décès / Transfert / Sortie de traitement</w:t>
      </w:r>
    </w:p>
    <w:p w:rsidR="00110BB3" w:rsidRDefault="00110BB3">
      <w:pPr>
        <w:spacing w:line="0" w:lineRule="atLeast"/>
        <w:ind w:left="280"/>
        <w:rPr>
          <w:b/>
          <w:sz w:val="28"/>
        </w:rPr>
        <w:sectPr w:rsidR="00110BB3">
          <w:pgSz w:w="11900" w:h="16838"/>
          <w:pgMar w:top="1440" w:right="1299" w:bottom="0" w:left="1140" w:header="0" w:footer="0" w:gutter="0"/>
          <w:cols w:space="0" w:equalWidth="0">
            <w:col w:w="9460"/>
          </w:cols>
          <w:docGrid w:linePitch="360"/>
        </w:sectPr>
      </w:pPr>
    </w:p>
    <w:p w:rsidR="00110BB3" w:rsidRDefault="00110BB3">
      <w:pPr>
        <w:spacing w:line="380" w:lineRule="exact"/>
        <w:rPr>
          <w:rFonts w:ascii="Times New Roman" w:eastAsia="Times New Roman" w:hAnsi="Times New Roman"/>
        </w:rPr>
      </w:pPr>
    </w:p>
    <w:p w:rsidR="00110BB3" w:rsidRDefault="00110BB3">
      <w:pPr>
        <w:spacing w:line="0" w:lineRule="atLeast"/>
        <w:ind w:left="1760"/>
        <w:rPr>
          <w:rFonts w:ascii="Garamond" w:eastAsia="Garamond" w:hAnsi="Garamond"/>
          <w:sz w:val="22"/>
        </w:rPr>
      </w:pPr>
      <w:r>
        <w:rPr>
          <w:rFonts w:ascii="Garamond" w:eastAsia="Garamond" w:hAnsi="Garamond"/>
          <w:sz w:val="22"/>
        </w:rPr>
        <w:t>DECLARER</w:t>
      </w:r>
    </w:p>
    <w:p w:rsidR="00110BB3" w:rsidRDefault="00110BB3">
      <w:pPr>
        <w:spacing w:line="340" w:lineRule="exact"/>
        <w:rPr>
          <w:rFonts w:ascii="Times New Roman" w:eastAsia="Times New Roman" w:hAnsi="Times New Roman"/>
        </w:rPr>
      </w:pPr>
    </w:p>
    <w:p w:rsidR="00110BB3" w:rsidRDefault="00110BB3">
      <w:pPr>
        <w:spacing w:line="238" w:lineRule="auto"/>
        <w:ind w:left="280" w:right="260"/>
        <w:rPr>
          <w:rFonts w:ascii="Garamond" w:eastAsia="Garamond" w:hAnsi="Garamond"/>
          <w:sz w:val="22"/>
        </w:rPr>
      </w:pPr>
      <w:r>
        <w:rPr>
          <w:rFonts w:ascii="Garamond" w:eastAsia="Garamond" w:hAnsi="Garamond"/>
          <w:sz w:val="22"/>
        </w:rPr>
        <w:t xml:space="preserve">Transfert </w:t>
      </w:r>
      <w:r>
        <w:rPr>
          <w:rFonts w:ascii="Garamond" w:eastAsia="Garamond" w:hAnsi="Garamond"/>
          <w:sz w:val="22"/>
          <w:u w:val="single"/>
        </w:rPr>
        <w:t>définitif</w:t>
      </w:r>
      <w:r>
        <w:rPr>
          <w:rFonts w:ascii="Garamond" w:eastAsia="Garamond" w:hAnsi="Garamond"/>
          <w:sz w:val="22"/>
        </w:rPr>
        <w:t xml:space="preserve"> vers une autre structure de soins</w:t>
      </w:r>
    </w:p>
    <w:p w:rsidR="00110BB3" w:rsidRDefault="00110BB3">
      <w:pPr>
        <w:spacing w:line="70" w:lineRule="exact"/>
        <w:rPr>
          <w:rFonts w:ascii="Times New Roman" w:eastAsia="Times New Roman" w:hAnsi="Times New Roman"/>
        </w:rPr>
      </w:pPr>
    </w:p>
    <w:p w:rsidR="00110BB3" w:rsidRDefault="00110BB3">
      <w:pPr>
        <w:spacing w:line="269" w:lineRule="auto"/>
        <w:ind w:left="280" w:right="760"/>
        <w:rPr>
          <w:rFonts w:ascii="Garamond" w:eastAsia="Garamond" w:hAnsi="Garamond"/>
          <w:color w:val="FF0000"/>
        </w:rPr>
      </w:pPr>
      <w:r>
        <w:rPr>
          <w:rFonts w:ascii="Garamond" w:eastAsia="Garamond" w:hAnsi="Garamond"/>
          <w:color w:val="FF0000"/>
        </w:rPr>
        <w:t>Transfert vers une autre unité de prise en charge pour une durée de plus de 3 mois</w:t>
      </w:r>
    </w:p>
    <w:p w:rsidR="00110BB3" w:rsidRDefault="00110BB3">
      <w:pPr>
        <w:spacing w:line="1" w:lineRule="exact"/>
        <w:rPr>
          <w:rFonts w:ascii="Times New Roman" w:eastAsia="Times New Roman" w:hAnsi="Times New Roman"/>
        </w:rPr>
      </w:pPr>
    </w:p>
    <w:p w:rsidR="00110BB3" w:rsidRDefault="00110BB3">
      <w:pPr>
        <w:spacing w:line="272" w:lineRule="auto"/>
        <w:ind w:left="280" w:right="740"/>
        <w:rPr>
          <w:rFonts w:ascii="Garamond" w:eastAsia="Garamond" w:hAnsi="Garamond"/>
          <w:color w:val="FF0000"/>
          <w:sz w:val="22"/>
        </w:rPr>
      </w:pPr>
      <w:r>
        <w:rPr>
          <w:rFonts w:ascii="Garamond" w:eastAsia="Garamond" w:hAnsi="Garamond"/>
          <w:color w:val="FF0000"/>
          <w:sz w:val="22"/>
        </w:rPr>
        <w:t>Transfert suivi d’un décès dans un délai inférieur à 3 mois</w:t>
      </w:r>
    </w:p>
    <w:p w:rsidR="00110BB3" w:rsidRDefault="00110BB3">
      <w:pPr>
        <w:spacing w:line="1" w:lineRule="exact"/>
        <w:rPr>
          <w:rFonts w:ascii="Times New Roman" w:eastAsia="Times New Roman" w:hAnsi="Times New Roman"/>
        </w:rPr>
      </w:pPr>
    </w:p>
    <w:p w:rsidR="00110BB3" w:rsidRDefault="00110BB3">
      <w:pPr>
        <w:spacing w:line="0" w:lineRule="atLeast"/>
        <w:ind w:left="280"/>
        <w:rPr>
          <w:rFonts w:ascii="Garamond" w:eastAsia="Garamond" w:hAnsi="Garamond"/>
          <w:sz w:val="22"/>
        </w:rPr>
      </w:pPr>
      <w:r>
        <w:rPr>
          <w:rFonts w:ascii="Garamond" w:eastAsia="Garamond" w:hAnsi="Garamond"/>
          <w:sz w:val="22"/>
        </w:rPr>
        <w:t>Départ définitif à l’étranger</w:t>
      </w:r>
    </w:p>
    <w:p w:rsidR="00110BB3" w:rsidRDefault="00110BB3">
      <w:pPr>
        <w:spacing w:line="64" w:lineRule="exact"/>
        <w:rPr>
          <w:rFonts w:ascii="Times New Roman" w:eastAsia="Times New Roman" w:hAnsi="Times New Roman"/>
        </w:rPr>
      </w:pPr>
    </w:p>
    <w:p w:rsidR="00110BB3" w:rsidRDefault="00110BB3">
      <w:pPr>
        <w:spacing w:line="0" w:lineRule="atLeast"/>
        <w:ind w:left="280"/>
        <w:rPr>
          <w:rFonts w:ascii="Garamond" w:eastAsia="Garamond" w:hAnsi="Garamond"/>
          <w:sz w:val="22"/>
        </w:rPr>
      </w:pPr>
      <w:r>
        <w:rPr>
          <w:rFonts w:ascii="Garamond" w:eastAsia="Garamond" w:hAnsi="Garamond"/>
          <w:sz w:val="22"/>
        </w:rPr>
        <w:t>Arrêt de dialyse</w:t>
      </w:r>
    </w:p>
    <w:p w:rsidR="00110BB3" w:rsidRDefault="00110BB3">
      <w:pPr>
        <w:spacing w:line="69" w:lineRule="exact"/>
        <w:rPr>
          <w:rFonts w:ascii="Times New Roman" w:eastAsia="Times New Roman" w:hAnsi="Times New Roman"/>
        </w:rPr>
      </w:pPr>
    </w:p>
    <w:p w:rsidR="00110BB3" w:rsidRDefault="00110BB3">
      <w:pPr>
        <w:spacing w:line="238" w:lineRule="auto"/>
        <w:ind w:left="280" w:right="1080"/>
        <w:rPr>
          <w:rFonts w:ascii="Garamond" w:eastAsia="Garamond" w:hAnsi="Garamond"/>
          <w:sz w:val="22"/>
        </w:rPr>
      </w:pPr>
      <w:r>
        <w:rPr>
          <w:rFonts w:ascii="Garamond" w:eastAsia="Garamond" w:hAnsi="Garamond"/>
          <w:sz w:val="22"/>
        </w:rPr>
        <w:t>Perdu de vue depuis plus de 6 mois Décès</w:t>
      </w:r>
    </w:p>
    <w:p w:rsidR="00110BB3" w:rsidRDefault="00110BB3">
      <w:pPr>
        <w:spacing w:line="200" w:lineRule="exact"/>
        <w:rPr>
          <w:rFonts w:ascii="Times New Roman" w:eastAsia="Times New Roman" w:hAnsi="Times New Roman"/>
        </w:rPr>
      </w:pPr>
      <w:r>
        <w:rPr>
          <w:rFonts w:ascii="Garamond" w:eastAsia="Garamond" w:hAnsi="Garamond"/>
          <w:sz w:val="22"/>
        </w:rPr>
        <w:br w:type="column"/>
      </w:r>
    </w:p>
    <w:p w:rsidR="00110BB3" w:rsidRDefault="00110BB3">
      <w:pPr>
        <w:spacing w:line="254" w:lineRule="exact"/>
        <w:rPr>
          <w:rFonts w:ascii="Times New Roman" w:eastAsia="Times New Roman" w:hAnsi="Times New Roman"/>
        </w:rPr>
      </w:pPr>
    </w:p>
    <w:p w:rsidR="00110BB3" w:rsidRDefault="00110BB3">
      <w:pPr>
        <w:spacing w:line="0" w:lineRule="atLeast"/>
        <w:ind w:left="1200"/>
        <w:rPr>
          <w:rFonts w:ascii="Garamond" w:eastAsia="Garamond" w:hAnsi="Garamond"/>
          <w:sz w:val="22"/>
        </w:rPr>
      </w:pPr>
      <w:r>
        <w:rPr>
          <w:rFonts w:ascii="Garamond" w:eastAsia="Garamond" w:hAnsi="Garamond"/>
          <w:sz w:val="22"/>
        </w:rPr>
        <w:t>NE PAS DECLARER</w:t>
      </w:r>
    </w:p>
    <w:p w:rsidR="00110BB3" w:rsidRDefault="00110BB3">
      <w:pPr>
        <w:spacing w:line="304" w:lineRule="exact"/>
        <w:rPr>
          <w:rFonts w:ascii="Times New Roman" w:eastAsia="Times New Roman" w:hAnsi="Times New Roman"/>
        </w:rPr>
      </w:pPr>
    </w:p>
    <w:p w:rsidR="00110BB3" w:rsidRDefault="00110BB3">
      <w:pPr>
        <w:spacing w:line="0" w:lineRule="atLeast"/>
        <w:rPr>
          <w:rFonts w:ascii="Garamond" w:eastAsia="Garamond" w:hAnsi="Garamond"/>
          <w:color w:val="FF0000"/>
          <w:sz w:val="22"/>
        </w:rPr>
      </w:pPr>
      <w:r>
        <w:rPr>
          <w:rFonts w:ascii="Garamond" w:eastAsia="Garamond" w:hAnsi="Garamond"/>
          <w:color w:val="FF0000"/>
          <w:sz w:val="22"/>
        </w:rPr>
        <w:t xml:space="preserve">Transfert </w:t>
      </w:r>
      <w:r>
        <w:rPr>
          <w:rFonts w:ascii="Garamond" w:eastAsia="Garamond" w:hAnsi="Garamond"/>
          <w:color w:val="FF0000"/>
          <w:sz w:val="22"/>
          <w:u w:val="single"/>
        </w:rPr>
        <w:t>temporaire</w:t>
      </w:r>
      <w:r>
        <w:rPr>
          <w:rFonts w:ascii="Garamond" w:eastAsia="Garamond" w:hAnsi="Garamond"/>
          <w:color w:val="FF0000"/>
          <w:sz w:val="22"/>
        </w:rPr>
        <w:t xml:space="preserve"> (&lt; 3 mois)</w:t>
      </w:r>
    </w:p>
    <w:p w:rsidR="00110BB3" w:rsidRDefault="00110BB3">
      <w:pPr>
        <w:spacing w:line="69" w:lineRule="exact"/>
        <w:rPr>
          <w:rFonts w:ascii="Times New Roman" w:eastAsia="Times New Roman" w:hAnsi="Times New Roman"/>
        </w:rPr>
      </w:pPr>
    </w:p>
    <w:p w:rsidR="00110BB3" w:rsidRDefault="00110BB3">
      <w:pPr>
        <w:spacing w:line="239" w:lineRule="auto"/>
        <w:ind w:right="780"/>
        <w:rPr>
          <w:rFonts w:ascii="Garamond" w:eastAsia="Garamond" w:hAnsi="Garamond"/>
          <w:color w:val="FF0000"/>
          <w:sz w:val="22"/>
        </w:rPr>
      </w:pPr>
      <w:r>
        <w:rPr>
          <w:rFonts w:ascii="Garamond" w:eastAsia="Garamond" w:hAnsi="Garamond"/>
          <w:color w:val="FF0000"/>
          <w:sz w:val="22"/>
        </w:rPr>
        <w:t>Repli</w:t>
      </w:r>
      <w:r>
        <w:rPr>
          <w:rFonts w:ascii="Garamond" w:eastAsia="Garamond" w:hAnsi="Garamond"/>
          <w:color w:val="FF0000"/>
          <w:sz w:val="12"/>
        </w:rPr>
        <w:t>$</w:t>
      </w:r>
      <w:r>
        <w:rPr>
          <w:rFonts w:ascii="Garamond" w:eastAsia="Garamond" w:hAnsi="Garamond"/>
          <w:color w:val="FF0000"/>
          <w:sz w:val="22"/>
        </w:rPr>
        <w:t xml:space="preserve"> pour une durée de moins de 3 mois Vacances</w:t>
      </w:r>
    </w:p>
    <w:p w:rsidR="00110BB3" w:rsidRDefault="00110BB3">
      <w:pPr>
        <w:spacing w:line="38"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Séjour avec retour programmé</w:t>
      </w:r>
    </w:p>
    <w:p w:rsidR="00110BB3" w:rsidRDefault="00110BB3">
      <w:pPr>
        <w:spacing w:line="0" w:lineRule="atLeast"/>
        <w:rPr>
          <w:rFonts w:ascii="Garamond" w:eastAsia="Garamond" w:hAnsi="Garamond"/>
          <w:sz w:val="22"/>
        </w:rPr>
        <w:sectPr w:rsidR="00110BB3">
          <w:type w:val="continuous"/>
          <w:pgSz w:w="11900" w:h="16838"/>
          <w:pgMar w:top="1440" w:right="1299" w:bottom="0" w:left="1140" w:header="0" w:footer="0" w:gutter="0"/>
          <w:cols w:num="2" w:space="0" w:equalWidth="0">
            <w:col w:w="4380" w:space="720"/>
            <w:col w:w="4360"/>
          </w:cols>
          <w:docGrid w:linePitch="360"/>
        </w:sectPr>
      </w:pPr>
    </w:p>
    <w:p w:rsidR="00110BB3" w:rsidRDefault="00110BB3">
      <w:pPr>
        <w:spacing w:line="299" w:lineRule="exact"/>
        <w:rPr>
          <w:rFonts w:ascii="Times New Roman" w:eastAsia="Times New Roman" w:hAnsi="Times New Roman"/>
        </w:rPr>
      </w:pPr>
    </w:p>
    <w:p w:rsidR="00110BB3" w:rsidRDefault="00110BB3">
      <w:pPr>
        <w:spacing w:line="0" w:lineRule="atLeast"/>
        <w:ind w:left="360"/>
        <w:rPr>
          <w:rFonts w:ascii="Garamond" w:eastAsia="Garamond" w:hAnsi="Garamond"/>
          <w:b/>
          <w:sz w:val="22"/>
        </w:rPr>
      </w:pPr>
      <w:r>
        <w:rPr>
          <w:rFonts w:ascii="Garamond" w:eastAsia="Garamond" w:hAnsi="Garamond"/>
          <w:b/>
          <w:sz w:val="22"/>
        </w:rPr>
        <w:t>Transfert vers une autre unité de prise en charge :</w:t>
      </w:r>
    </w:p>
    <w:p w:rsidR="00110BB3" w:rsidRDefault="00110BB3">
      <w:pPr>
        <w:spacing w:line="257" w:lineRule="auto"/>
        <w:ind w:firstLine="360"/>
        <w:jc w:val="both"/>
        <w:rPr>
          <w:rFonts w:ascii="Garamond" w:eastAsia="Garamond" w:hAnsi="Garamond"/>
          <w:sz w:val="22"/>
        </w:rPr>
      </w:pPr>
      <w:r>
        <w:rPr>
          <w:rFonts w:ascii="Garamond" w:eastAsia="Garamond" w:hAnsi="Garamond"/>
          <w:sz w:val="22"/>
        </w:rPr>
        <w:t>Lorsqu'un patient change d’unité de prise en charge (transfert définitif ou &gt;= 3 mois), une déclaration doit être faite par l’unité de prise en charge qui transfère le patient, afin d'indiquer la date du transfert et l'adresse de la nouvelle unité de prise en charge. En cas de transfert suivi d’un décès dans un délai inférieur à 3 mois, il</w:t>
      </w:r>
    </w:p>
    <w:p w:rsidR="00110BB3" w:rsidRDefault="00110BB3">
      <w:pPr>
        <w:spacing w:line="215" w:lineRule="auto"/>
        <w:rPr>
          <w:rFonts w:ascii="Garamond" w:eastAsia="Garamond" w:hAnsi="Garamond"/>
          <w:sz w:val="22"/>
        </w:rPr>
      </w:pPr>
      <w:r>
        <w:rPr>
          <w:rFonts w:ascii="Garamond" w:eastAsia="Garamond" w:hAnsi="Garamond"/>
          <w:sz w:val="22"/>
        </w:rPr>
        <w:t>convient de déclarer le transfert.</w:t>
      </w:r>
    </w:p>
    <w:p w:rsidR="00110BB3" w:rsidRDefault="00110BB3">
      <w:pPr>
        <w:spacing w:line="217"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 xml:space="preserve">Les transferts </w:t>
      </w:r>
      <w:r>
        <w:rPr>
          <w:rFonts w:ascii="Garamond" w:eastAsia="Garamond" w:hAnsi="Garamond"/>
          <w:sz w:val="22"/>
          <w:u w:val="single"/>
        </w:rPr>
        <w:t>temporaires, pour une période de moins de 3 mois,</w:t>
      </w:r>
      <w:r>
        <w:rPr>
          <w:rFonts w:ascii="Garamond" w:eastAsia="Garamond" w:hAnsi="Garamond"/>
          <w:sz w:val="22"/>
        </w:rPr>
        <w:t xml:space="preserve"> ne sont pas à déclarer par l’unité de prise en</w:t>
      </w:r>
    </w:p>
    <w:p w:rsidR="00110BB3" w:rsidRDefault="00110BB3">
      <w:pPr>
        <w:spacing w:line="64" w:lineRule="exact"/>
        <w:rPr>
          <w:rFonts w:ascii="Times New Roman" w:eastAsia="Times New Roman" w:hAnsi="Times New Roman"/>
        </w:rPr>
      </w:pPr>
    </w:p>
    <w:p w:rsidR="00110BB3" w:rsidRDefault="00110BB3">
      <w:pPr>
        <w:spacing w:line="226" w:lineRule="auto"/>
        <w:ind w:right="60"/>
        <w:rPr>
          <w:rFonts w:ascii="Garamond" w:eastAsia="Garamond" w:hAnsi="Garamond"/>
          <w:sz w:val="22"/>
        </w:rPr>
      </w:pPr>
      <w:r>
        <w:rPr>
          <w:rFonts w:ascii="Garamond" w:eastAsia="Garamond" w:hAnsi="Garamond"/>
          <w:sz w:val="22"/>
        </w:rPr>
        <w:t>charge (vacances, replis). Le patient reste déclaré dans son unité de prise en charge habituelle. Cependant, ces transferts temporaires peuvent être déclarés en cas d’accord des 2 centres.</w:t>
      </w:r>
    </w:p>
    <w:p w:rsidR="00110BB3" w:rsidRDefault="00110BB3">
      <w:pPr>
        <w:spacing w:line="209" w:lineRule="exact"/>
        <w:rPr>
          <w:rFonts w:ascii="Times New Roman" w:eastAsia="Times New Roman" w:hAnsi="Times New Roman"/>
        </w:rPr>
      </w:pPr>
    </w:p>
    <w:p w:rsidR="00110BB3" w:rsidRDefault="00110BB3">
      <w:pPr>
        <w:spacing w:line="0" w:lineRule="atLeast"/>
        <w:ind w:left="360"/>
        <w:rPr>
          <w:rFonts w:ascii="Garamond" w:eastAsia="Garamond" w:hAnsi="Garamond"/>
          <w:b/>
          <w:sz w:val="22"/>
        </w:rPr>
      </w:pPr>
      <w:r>
        <w:rPr>
          <w:rFonts w:ascii="Garamond" w:eastAsia="Garamond" w:hAnsi="Garamond"/>
          <w:b/>
          <w:sz w:val="22"/>
        </w:rPr>
        <w:t>Transfert à l’étranger :</w:t>
      </w:r>
    </w:p>
    <w:p w:rsidR="00110BB3" w:rsidRDefault="00110BB3">
      <w:pPr>
        <w:spacing w:line="4" w:lineRule="exact"/>
        <w:rPr>
          <w:rFonts w:ascii="Times New Roman" w:eastAsia="Times New Roman" w:hAnsi="Times New Roman"/>
        </w:rPr>
      </w:pPr>
    </w:p>
    <w:p w:rsidR="00110BB3" w:rsidRDefault="00110BB3">
      <w:pPr>
        <w:spacing w:line="0" w:lineRule="atLeast"/>
        <w:ind w:left="360"/>
        <w:rPr>
          <w:rFonts w:ascii="Garamond" w:eastAsia="Garamond" w:hAnsi="Garamond"/>
          <w:sz w:val="22"/>
        </w:rPr>
      </w:pPr>
      <w:r>
        <w:rPr>
          <w:rFonts w:ascii="Garamond" w:eastAsia="Garamond" w:hAnsi="Garamond"/>
          <w:sz w:val="22"/>
        </w:rPr>
        <w:t>Lorsqu’un patient part à l’étranger, il convient d’indiquer son pays de destination.</w:t>
      </w:r>
    </w:p>
    <w:p w:rsidR="00110BB3" w:rsidRDefault="00110BB3">
      <w:pPr>
        <w:spacing w:line="148"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Les retours dans une structure de dialyse du Registre sont déclarés à travers un point annuel à la date du retour.</w:t>
      </w:r>
    </w:p>
    <w:p w:rsidR="00110BB3" w:rsidRDefault="00110BB3">
      <w:pPr>
        <w:spacing w:line="69" w:lineRule="exact"/>
        <w:rPr>
          <w:rFonts w:ascii="Times New Roman" w:eastAsia="Times New Roman" w:hAnsi="Times New Roman"/>
        </w:rPr>
      </w:pPr>
    </w:p>
    <w:p w:rsidR="00110BB3" w:rsidRDefault="00110BB3">
      <w:pPr>
        <w:spacing w:line="245" w:lineRule="auto"/>
        <w:ind w:right="320"/>
        <w:rPr>
          <w:rFonts w:ascii="Garamond" w:eastAsia="Garamond" w:hAnsi="Garamond"/>
          <w:sz w:val="22"/>
        </w:rPr>
      </w:pPr>
      <w:r>
        <w:rPr>
          <w:rFonts w:ascii="Garamond" w:eastAsia="Garamond" w:hAnsi="Garamond"/>
          <w:sz w:val="22"/>
        </w:rPr>
        <w:t xml:space="preserve">Les retours dans une structure de dialyse du Registre </w:t>
      </w:r>
      <w:r>
        <w:rPr>
          <w:rFonts w:ascii="Garamond" w:eastAsia="Garamond" w:hAnsi="Garamond"/>
          <w:sz w:val="22"/>
          <w:u w:val="single"/>
        </w:rPr>
        <w:t>temporaires, pour une période de moins de 3 mois,</w:t>
      </w:r>
      <w:r>
        <w:rPr>
          <w:rFonts w:ascii="Garamond" w:eastAsia="Garamond" w:hAnsi="Garamond"/>
          <w:sz w:val="22"/>
        </w:rPr>
        <w:t xml:space="preserve"> ne sont pas à déclarer par l’unité de prise en charge (vacances, replis) sauf si la structure le souhaite. Le patient</w:t>
      </w:r>
    </w:p>
    <w:p w:rsidR="00110BB3" w:rsidRDefault="00110BB3">
      <w:pPr>
        <w:spacing w:line="23" w:lineRule="exact"/>
        <w:rPr>
          <w:rFonts w:ascii="Times New Roman" w:eastAsia="Times New Roman" w:hAnsi="Times New Roman"/>
        </w:rPr>
      </w:pPr>
    </w:p>
    <w:p w:rsidR="00110BB3" w:rsidRDefault="00110BB3">
      <w:pPr>
        <w:spacing w:line="0" w:lineRule="atLeast"/>
        <w:rPr>
          <w:rFonts w:ascii="Garamond" w:eastAsia="Garamond" w:hAnsi="Garamond"/>
          <w:sz w:val="22"/>
        </w:rPr>
        <w:sectPr w:rsidR="00110BB3">
          <w:type w:val="continuous"/>
          <w:pgSz w:w="11900" w:h="16838"/>
          <w:pgMar w:top="1440" w:right="1299" w:bottom="0" w:left="1140" w:header="0" w:footer="0" w:gutter="0"/>
          <w:cols w:space="0" w:equalWidth="0">
            <w:col w:w="9460"/>
          </w:cols>
          <w:docGrid w:linePitch="360"/>
        </w:sectPr>
      </w:pPr>
      <w:r>
        <w:rPr>
          <w:rFonts w:ascii="Garamond" w:eastAsia="Garamond" w:hAnsi="Garamond"/>
          <w:sz w:val="22"/>
        </w:rPr>
        <w:t xml:space="preserve">reste déclaré dans son pays de prise </w:t>
      </w:r>
      <w:r w:rsidR="00DC1D42">
        <w:rPr>
          <w:rFonts w:ascii="Garamond" w:eastAsia="Garamond" w:hAnsi="Garamond"/>
          <w:sz w:val="22"/>
        </w:rPr>
        <w:t>en charge habituelle.</w:t>
      </w:r>
    </w:p>
    <w:p w:rsidR="00110BB3" w:rsidRDefault="00110BB3">
      <w:pPr>
        <w:spacing w:line="340" w:lineRule="exact"/>
        <w:rPr>
          <w:rFonts w:ascii="Times New Roman" w:eastAsia="Times New Roman" w:hAnsi="Times New Roman"/>
        </w:rPr>
      </w:pPr>
    </w:p>
    <w:p w:rsidR="00110BB3" w:rsidRDefault="00110BB3">
      <w:pPr>
        <w:spacing w:line="0" w:lineRule="atLeast"/>
        <w:ind w:left="360"/>
        <w:rPr>
          <w:rFonts w:ascii="Garamond" w:eastAsia="Garamond" w:hAnsi="Garamond"/>
          <w:b/>
          <w:sz w:val="22"/>
        </w:rPr>
      </w:pPr>
      <w:r>
        <w:rPr>
          <w:rFonts w:ascii="Garamond" w:eastAsia="Garamond" w:hAnsi="Garamond"/>
          <w:b/>
          <w:sz w:val="22"/>
        </w:rPr>
        <w:t>Arrêt de la dialyse / sevrage :</w:t>
      </w:r>
    </w:p>
    <w:p w:rsidR="00110BB3" w:rsidRDefault="00110BB3">
      <w:pPr>
        <w:spacing w:line="0" w:lineRule="atLeast"/>
        <w:ind w:left="360"/>
        <w:rPr>
          <w:rFonts w:ascii="Garamond" w:eastAsia="Garamond" w:hAnsi="Garamond"/>
          <w:sz w:val="22"/>
        </w:rPr>
      </w:pPr>
      <w:r>
        <w:rPr>
          <w:rFonts w:ascii="Garamond" w:eastAsia="Garamond" w:hAnsi="Garamond"/>
          <w:sz w:val="22"/>
        </w:rPr>
        <w:t>La date et le motif de l’arrêt de dialyse doivent être renseignés.</w:t>
      </w:r>
    </w:p>
    <w:p w:rsidR="00110BB3" w:rsidRDefault="00110BB3">
      <w:pPr>
        <w:spacing w:line="0" w:lineRule="atLeast"/>
        <w:ind w:left="360"/>
        <w:rPr>
          <w:rFonts w:ascii="Garamond" w:eastAsia="Garamond" w:hAnsi="Garamond"/>
          <w:sz w:val="22"/>
        </w:rPr>
        <w:sectPr w:rsidR="00110BB3">
          <w:type w:val="continuous"/>
          <w:pgSz w:w="11900" w:h="16838"/>
          <w:pgMar w:top="1440" w:right="1299" w:bottom="0" w:left="1140" w:header="0" w:footer="0" w:gutter="0"/>
          <w:cols w:space="0" w:equalWidth="0">
            <w:col w:w="9460"/>
          </w:cols>
          <w:docGrid w:linePitch="360"/>
        </w:sectPr>
      </w:pPr>
    </w:p>
    <w:p w:rsidR="00110BB3" w:rsidRDefault="00110BB3">
      <w:pPr>
        <w:spacing w:line="50" w:lineRule="exact"/>
        <w:rPr>
          <w:rFonts w:ascii="Times New Roman" w:eastAsia="Times New Roman" w:hAnsi="Times New Roman"/>
        </w:rPr>
      </w:pPr>
      <w:bookmarkStart w:id="4" w:name="page5"/>
      <w:bookmarkEnd w:id="4"/>
    </w:p>
    <w:p w:rsidR="00110BB3" w:rsidRDefault="00110BB3">
      <w:pPr>
        <w:spacing w:line="226" w:lineRule="auto"/>
        <w:ind w:right="20"/>
        <w:jc w:val="both"/>
        <w:rPr>
          <w:rFonts w:ascii="Garamond" w:eastAsia="Garamond" w:hAnsi="Garamond"/>
          <w:sz w:val="22"/>
        </w:rPr>
      </w:pPr>
      <w:r>
        <w:rPr>
          <w:rFonts w:ascii="Garamond" w:eastAsia="Garamond" w:hAnsi="Garamond"/>
          <w:sz w:val="22"/>
        </w:rPr>
        <w:t>Le sevrage doit être déclaré chaque fois qu'un patient a récupéré suffisamment de fonction rénale pour pouvoir être sevré de la dialyse, quelle que soit la durée du traitement avant sevrage. L’arrêt de dialyse peut également</w:t>
      </w:r>
    </w:p>
    <w:p w:rsidR="00110BB3" w:rsidRDefault="00110BB3">
      <w:pPr>
        <w:spacing w:line="233" w:lineRule="auto"/>
        <w:rPr>
          <w:rFonts w:ascii="Garamond" w:eastAsia="Garamond" w:hAnsi="Garamond"/>
          <w:sz w:val="22"/>
        </w:rPr>
      </w:pPr>
      <w:r>
        <w:rPr>
          <w:rFonts w:ascii="Garamond" w:eastAsia="Garamond" w:hAnsi="Garamond"/>
          <w:sz w:val="22"/>
        </w:rPr>
        <w:t>être décidé pour un patient en fin de vie (attitude de retrait thérapeutique).</w:t>
      </w:r>
    </w:p>
    <w:p w:rsidR="00110BB3" w:rsidRDefault="00110BB3">
      <w:pPr>
        <w:spacing w:line="257" w:lineRule="exact"/>
        <w:rPr>
          <w:rFonts w:ascii="Times New Roman" w:eastAsia="Times New Roman" w:hAnsi="Times New Roman"/>
        </w:rPr>
      </w:pPr>
    </w:p>
    <w:p w:rsidR="00110BB3" w:rsidRDefault="00110BB3">
      <w:pPr>
        <w:spacing w:line="0" w:lineRule="atLeast"/>
        <w:ind w:left="360"/>
        <w:rPr>
          <w:rFonts w:ascii="Garamond" w:eastAsia="Garamond" w:hAnsi="Garamond"/>
          <w:b/>
          <w:sz w:val="22"/>
        </w:rPr>
      </w:pPr>
      <w:r>
        <w:rPr>
          <w:rFonts w:ascii="Garamond" w:eastAsia="Garamond" w:hAnsi="Garamond"/>
          <w:b/>
          <w:sz w:val="22"/>
        </w:rPr>
        <w:t>Perdu de vue :</w:t>
      </w:r>
    </w:p>
    <w:p w:rsidR="00110BB3" w:rsidRDefault="00110BB3">
      <w:pPr>
        <w:spacing w:line="270" w:lineRule="auto"/>
        <w:ind w:right="20" w:firstLine="360"/>
        <w:jc w:val="both"/>
        <w:rPr>
          <w:rFonts w:ascii="Garamond" w:eastAsia="Garamond" w:hAnsi="Garamond"/>
          <w:sz w:val="22"/>
        </w:rPr>
      </w:pPr>
      <w:r>
        <w:rPr>
          <w:rFonts w:ascii="Garamond" w:eastAsia="Garamond" w:hAnsi="Garamond"/>
          <w:sz w:val="22"/>
        </w:rPr>
        <w:t>En présence d’un patient dont on n’a plus de nouvelles depuis au moins 6 mois et après avoir vérifié l’absence de décès auprès de la mairie de naissance, le patient peut être déclaré ‘perdu de vue’. Un patient</w:t>
      </w:r>
    </w:p>
    <w:p w:rsidR="00110BB3" w:rsidRDefault="00110BB3">
      <w:pPr>
        <w:spacing w:line="2" w:lineRule="exact"/>
        <w:rPr>
          <w:rFonts w:ascii="Times New Roman" w:eastAsia="Times New Roman" w:hAnsi="Times New Roman"/>
        </w:rPr>
      </w:pPr>
    </w:p>
    <w:p w:rsidR="00110BB3" w:rsidRDefault="00110BB3">
      <w:pPr>
        <w:spacing w:line="228" w:lineRule="auto"/>
        <w:ind w:right="20"/>
        <w:jc w:val="both"/>
        <w:rPr>
          <w:rFonts w:ascii="Garamond" w:eastAsia="Garamond" w:hAnsi="Garamond"/>
          <w:sz w:val="22"/>
        </w:rPr>
      </w:pPr>
      <w:r>
        <w:rPr>
          <w:rFonts w:ascii="Garamond" w:eastAsia="Garamond" w:hAnsi="Garamond"/>
          <w:sz w:val="22"/>
        </w:rPr>
        <w:t>perdu de vue pour cause de refus de dialyse et qui revient en dialyse en hospitalisation dans le centre doit être enregistré comme un arrêt de dialyse pour refus, puis retour après sevrage et non comme perdu de vue. Les retours dans une structure de dialyse du Registre sont déclarés à travers un point annuel à la date du retour.</w:t>
      </w:r>
    </w:p>
    <w:p w:rsidR="00110BB3" w:rsidRDefault="00110BB3">
      <w:pPr>
        <w:spacing w:line="221" w:lineRule="exact"/>
        <w:rPr>
          <w:rFonts w:ascii="Times New Roman" w:eastAsia="Times New Roman" w:hAnsi="Times New Roman"/>
        </w:rPr>
      </w:pPr>
    </w:p>
    <w:p w:rsidR="00110BB3" w:rsidRDefault="00110BB3">
      <w:pPr>
        <w:spacing w:line="0" w:lineRule="atLeast"/>
        <w:ind w:left="360"/>
        <w:rPr>
          <w:rFonts w:ascii="Garamond" w:eastAsia="Garamond" w:hAnsi="Garamond"/>
          <w:b/>
          <w:sz w:val="22"/>
        </w:rPr>
      </w:pPr>
      <w:r>
        <w:rPr>
          <w:rFonts w:ascii="Garamond" w:eastAsia="Garamond" w:hAnsi="Garamond"/>
          <w:b/>
          <w:sz w:val="22"/>
        </w:rPr>
        <w:t>Décès :</w:t>
      </w:r>
    </w:p>
    <w:p w:rsidR="00110BB3" w:rsidRDefault="00110BB3">
      <w:pPr>
        <w:spacing w:line="267" w:lineRule="auto"/>
        <w:ind w:right="520" w:firstLine="360"/>
        <w:rPr>
          <w:rFonts w:ascii="Garamond" w:eastAsia="Garamond" w:hAnsi="Garamond"/>
          <w:sz w:val="22"/>
        </w:rPr>
      </w:pPr>
      <w:r>
        <w:rPr>
          <w:rFonts w:ascii="Garamond" w:eastAsia="Garamond" w:hAnsi="Garamond"/>
          <w:sz w:val="22"/>
        </w:rPr>
        <w:t>Le décès doit être déclaré, dans le mois suivant le décès, par l’unité qui prenait le patient en charge de façon habituelle.</w:t>
      </w:r>
    </w:p>
    <w:p w:rsidR="00110BB3" w:rsidRDefault="00110BB3">
      <w:pPr>
        <w:spacing w:line="192" w:lineRule="exact"/>
        <w:rPr>
          <w:rFonts w:ascii="Times New Roman" w:eastAsia="Times New Roman" w:hAnsi="Times New Roman"/>
        </w:rPr>
      </w:pPr>
    </w:p>
    <w:p w:rsidR="00110BB3" w:rsidRDefault="00110BB3">
      <w:pPr>
        <w:spacing w:line="0" w:lineRule="atLeast"/>
        <w:rPr>
          <w:b/>
          <w:color w:val="AD0101"/>
          <w:sz w:val="28"/>
        </w:rPr>
      </w:pPr>
      <w:r>
        <w:rPr>
          <w:b/>
          <w:color w:val="AD0101"/>
          <w:sz w:val="28"/>
        </w:rPr>
        <w:t>Arrivée dans une Unité de prise en charge</w:t>
      </w:r>
    </w:p>
    <w:p w:rsidR="00110BB3" w:rsidRDefault="00110BB3">
      <w:pPr>
        <w:spacing w:line="123" w:lineRule="exact"/>
        <w:rPr>
          <w:rFonts w:ascii="Times New Roman" w:eastAsia="Times New Roman" w:hAnsi="Times New Roman"/>
        </w:rPr>
      </w:pPr>
    </w:p>
    <w:p w:rsidR="00110BB3" w:rsidRDefault="00110BB3">
      <w:pPr>
        <w:spacing w:line="0" w:lineRule="atLeast"/>
        <w:ind w:left="360"/>
        <w:rPr>
          <w:rFonts w:ascii="Garamond" w:eastAsia="Garamond" w:hAnsi="Garamond"/>
          <w:sz w:val="22"/>
        </w:rPr>
      </w:pPr>
      <w:r>
        <w:rPr>
          <w:rFonts w:ascii="Garamond" w:eastAsia="Garamond" w:hAnsi="Garamond"/>
          <w:sz w:val="22"/>
        </w:rPr>
        <w:t>L’unité de prise en charge d’accueil déclare l’arrivée du patient. A cette occasion, elle doit mettre à jour, si</w:t>
      </w:r>
    </w:p>
    <w:p w:rsidR="00110BB3" w:rsidRDefault="00110BB3">
      <w:pPr>
        <w:spacing w:line="64" w:lineRule="exact"/>
        <w:rPr>
          <w:rFonts w:ascii="Times New Roman" w:eastAsia="Times New Roman" w:hAnsi="Times New Roman"/>
        </w:rPr>
      </w:pPr>
    </w:p>
    <w:p w:rsidR="00110BB3" w:rsidRDefault="00110BB3">
      <w:pPr>
        <w:spacing w:line="227" w:lineRule="auto"/>
        <w:ind w:right="20"/>
        <w:jc w:val="both"/>
        <w:rPr>
          <w:rFonts w:ascii="Garamond" w:eastAsia="Garamond" w:hAnsi="Garamond"/>
          <w:sz w:val="22"/>
        </w:rPr>
      </w:pPr>
      <w:r>
        <w:rPr>
          <w:rFonts w:ascii="Garamond" w:eastAsia="Garamond" w:hAnsi="Garamond"/>
          <w:sz w:val="22"/>
        </w:rPr>
        <w:t xml:space="preserve">nécessaire, </w:t>
      </w:r>
      <w:r>
        <w:rPr>
          <w:rFonts w:ascii="Garamond" w:eastAsia="Garamond" w:hAnsi="Garamond"/>
          <w:b/>
          <w:sz w:val="22"/>
          <w:u w:val="single"/>
        </w:rPr>
        <w:t>le lieu de résidence du patient</w:t>
      </w:r>
      <w:r>
        <w:rPr>
          <w:rFonts w:ascii="Garamond" w:eastAsia="Garamond" w:hAnsi="Garamond"/>
          <w:sz w:val="22"/>
        </w:rPr>
        <w:t xml:space="preserve"> en déclarant un déménagement dans le pavé Identité, et remplir un formulaire Traitement afin de déclarer les nouvelles modalités de traitement dans la nouvelle unité de prise en charge.</w:t>
      </w:r>
    </w:p>
    <w:p w:rsidR="00110BB3" w:rsidRDefault="00110BB3">
      <w:pPr>
        <w:spacing w:line="215" w:lineRule="exact"/>
        <w:rPr>
          <w:rFonts w:ascii="Times New Roman" w:eastAsia="Times New Roman" w:hAnsi="Times New Roman"/>
        </w:rPr>
      </w:pPr>
    </w:p>
    <w:p w:rsidR="00110BB3" w:rsidRDefault="00110BB3">
      <w:pPr>
        <w:spacing w:line="0" w:lineRule="atLeast"/>
        <w:ind w:left="360"/>
        <w:rPr>
          <w:rFonts w:ascii="Garamond" w:eastAsia="Garamond" w:hAnsi="Garamond"/>
          <w:sz w:val="22"/>
        </w:rPr>
      </w:pPr>
      <w:r>
        <w:rPr>
          <w:rFonts w:ascii="Garamond" w:eastAsia="Garamond" w:hAnsi="Garamond"/>
          <w:sz w:val="22"/>
        </w:rPr>
        <w:t>L’ancienne équipe garde la visibilité sur la trajectoire du patient et sur les formulaires remplis par elle-même</w:t>
      </w:r>
    </w:p>
    <w:p w:rsidR="00110BB3" w:rsidRDefault="00110BB3">
      <w:pPr>
        <w:spacing w:line="64" w:lineRule="exact"/>
        <w:rPr>
          <w:rFonts w:ascii="Times New Roman" w:eastAsia="Times New Roman" w:hAnsi="Times New Roman"/>
        </w:rPr>
      </w:pPr>
    </w:p>
    <w:p w:rsidR="00110BB3" w:rsidRDefault="00110BB3">
      <w:pPr>
        <w:spacing w:line="225" w:lineRule="auto"/>
        <w:rPr>
          <w:rFonts w:ascii="Garamond" w:eastAsia="Garamond" w:hAnsi="Garamond"/>
          <w:sz w:val="22"/>
        </w:rPr>
      </w:pPr>
      <w:r>
        <w:rPr>
          <w:rFonts w:ascii="Garamond" w:eastAsia="Garamond" w:hAnsi="Garamond"/>
          <w:sz w:val="22"/>
        </w:rPr>
        <w:t>sans possibilité de modification. Les nouveaux formulaires saisis par la nouvelle équipe ne seront pas visibles. Par contre, la trajectoire (succession d’évènements postérieure au transfert) reste visible sans possibilité de</w:t>
      </w:r>
    </w:p>
    <w:p w:rsidR="00110BB3" w:rsidRDefault="00110BB3">
      <w:pPr>
        <w:spacing w:line="232" w:lineRule="auto"/>
        <w:rPr>
          <w:rFonts w:ascii="Garamond" w:eastAsia="Garamond" w:hAnsi="Garamond"/>
          <w:sz w:val="22"/>
        </w:rPr>
      </w:pPr>
      <w:r>
        <w:rPr>
          <w:rFonts w:ascii="Garamond" w:eastAsia="Garamond" w:hAnsi="Garamond"/>
          <w:sz w:val="22"/>
        </w:rPr>
        <w:t>modification.</w:t>
      </w:r>
    </w:p>
    <w:p w:rsidR="00110BB3" w:rsidRDefault="00110BB3">
      <w:pPr>
        <w:spacing w:line="200" w:lineRule="exact"/>
        <w:rPr>
          <w:rFonts w:ascii="Times New Roman" w:eastAsia="Times New Roman" w:hAnsi="Times New Roman"/>
        </w:rPr>
      </w:pPr>
    </w:p>
    <w:p w:rsidR="00110BB3" w:rsidRDefault="00110BB3">
      <w:pPr>
        <w:spacing w:line="288" w:lineRule="exact"/>
        <w:rPr>
          <w:rFonts w:ascii="Times New Roman" w:eastAsia="Times New Roman" w:hAnsi="Times New Roman"/>
        </w:rPr>
      </w:pPr>
    </w:p>
    <w:p w:rsidR="00110BB3" w:rsidRDefault="00110BB3">
      <w:pPr>
        <w:spacing w:line="0" w:lineRule="atLeast"/>
        <w:ind w:left="360"/>
        <w:rPr>
          <w:b/>
          <w:color w:val="AD0101"/>
          <w:sz w:val="28"/>
        </w:rPr>
      </w:pPr>
      <w:r>
        <w:rPr>
          <w:b/>
          <w:color w:val="AD0101"/>
          <w:sz w:val="28"/>
        </w:rPr>
        <w:t>4 – Point annuel</w:t>
      </w:r>
    </w:p>
    <w:p w:rsidR="00110BB3" w:rsidRDefault="00110BB3">
      <w:pPr>
        <w:spacing w:line="349" w:lineRule="exact"/>
        <w:rPr>
          <w:rFonts w:ascii="Times New Roman" w:eastAsia="Times New Roman" w:hAnsi="Times New Roman"/>
        </w:rPr>
      </w:pPr>
    </w:p>
    <w:p w:rsidR="00110BB3" w:rsidRDefault="00110BB3">
      <w:pPr>
        <w:spacing w:line="0" w:lineRule="atLeast"/>
        <w:ind w:left="360"/>
        <w:rPr>
          <w:rFonts w:ascii="Garamond" w:eastAsia="Garamond" w:hAnsi="Garamond"/>
          <w:sz w:val="22"/>
        </w:rPr>
      </w:pPr>
      <w:r>
        <w:rPr>
          <w:rFonts w:ascii="Garamond" w:eastAsia="Garamond" w:hAnsi="Garamond"/>
          <w:sz w:val="22"/>
        </w:rPr>
        <w:t>Chaque année, une mise à jour de l'état clinique du patient, des données d'état civil et de l'adresse du</w:t>
      </w:r>
    </w:p>
    <w:p w:rsidR="00110BB3" w:rsidRDefault="00110BB3">
      <w:pPr>
        <w:spacing w:line="36" w:lineRule="exact"/>
        <w:rPr>
          <w:rFonts w:ascii="Times New Roman" w:eastAsia="Times New Roman" w:hAnsi="Times New Roman"/>
        </w:rPr>
      </w:pPr>
    </w:p>
    <w:p w:rsidR="00110BB3" w:rsidRDefault="00110BB3">
      <w:pPr>
        <w:spacing w:line="230" w:lineRule="auto"/>
        <w:ind w:right="140"/>
        <w:rPr>
          <w:rFonts w:ascii="Garamond" w:eastAsia="Garamond" w:hAnsi="Garamond"/>
          <w:sz w:val="22"/>
        </w:rPr>
      </w:pPr>
      <w:r>
        <w:rPr>
          <w:rFonts w:ascii="Garamond" w:eastAsia="Garamond" w:hAnsi="Garamond"/>
          <w:sz w:val="22"/>
        </w:rPr>
        <w:t>malade est obligatoirement faite à la date anniversaire du premier traitement de suppléance. Elle est destinée à faire le point sur l’état du patient, à rechercher un éventuel changement de traitement qui n’aurait pas été déclaré, ainsi qu’à recueillir des informations sur la qualité du traitement et les hospitalisations dans l’année. Il</w:t>
      </w:r>
    </w:p>
    <w:p w:rsidR="00110BB3" w:rsidRDefault="00110BB3">
      <w:pPr>
        <w:spacing w:line="30" w:lineRule="exact"/>
        <w:rPr>
          <w:rFonts w:ascii="Times New Roman" w:eastAsia="Times New Roman" w:hAnsi="Times New Roman"/>
        </w:rPr>
      </w:pPr>
    </w:p>
    <w:p w:rsidR="00110BB3" w:rsidRDefault="00110BB3">
      <w:pPr>
        <w:spacing w:line="222" w:lineRule="auto"/>
        <w:ind w:right="180"/>
        <w:rPr>
          <w:rFonts w:ascii="Garamond" w:eastAsia="Garamond" w:hAnsi="Garamond"/>
          <w:sz w:val="22"/>
        </w:rPr>
      </w:pPr>
      <w:r>
        <w:rPr>
          <w:rFonts w:ascii="Garamond" w:eastAsia="Garamond" w:hAnsi="Garamond"/>
          <w:sz w:val="22"/>
        </w:rPr>
        <w:t>convient, à cette occasion, de renseigner un éventuel changement de domicile en déclarant un déménagement dans le pavé Identité.</w:t>
      </w:r>
    </w:p>
    <w:p w:rsidR="00110BB3" w:rsidRDefault="00110BB3">
      <w:pPr>
        <w:spacing w:line="210" w:lineRule="exact"/>
        <w:rPr>
          <w:rFonts w:ascii="Times New Roman" w:eastAsia="Times New Roman" w:hAnsi="Times New Roman"/>
        </w:rPr>
      </w:pPr>
    </w:p>
    <w:p w:rsidR="00110BB3" w:rsidRDefault="00110BB3">
      <w:pPr>
        <w:spacing w:line="277" w:lineRule="auto"/>
        <w:ind w:left="40" w:right="20" w:firstLine="360"/>
        <w:rPr>
          <w:rFonts w:ascii="Garamond" w:eastAsia="Garamond" w:hAnsi="Garamond"/>
          <w:sz w:val="22"/>
        </w:rPr>
      </w:pPr>
      <w:r>
        <w:rPr>
          <w:rFonts w:ascii="Garamond" w:eastAsia="Garamond" w:hAnsi="Garamond"/>
          <w:sz w:val="22"/>
        </w:rPr>
        <w:t>La date du point annuel peut être modifiée pour un patient à la demande du centre, lors d’un retour de greffe par exemple, ayant déjà fait l’objet d’une mise à jour récente de l’état clinique ou du traitement.</w:t>
      </w:r>
    </w:p>
    <w:p w:rsidR="00110BB3" w:rsidRDefault="00110BB3">
      <w:pPr>
        <w:spacing w:line="200" w:lineRule="exact"/>
        <w:rPr>
          <w:rFonts w:ascii="Times New Roman" w:eastAsia="Times New Roman" w:hAnsi="Times New Roman"/>
        </w:rPr>
      </w:pPr>
    </w:p>
    <w:p w:rsidR="00110BB3" w:rsidRDefault="00110BB3">
      <w:pPr>
        <w:spacing w:line="221" w:lineRule="exact"/>
        <w:rPr>
          <w:rFonts w:ascii="Times New Roman" w:eastAsia="Times New Roman" w:hAnsi="Times New Roman"/>
        </w:rPr>
      </w:pPr>
    </w:p>
    <w:p w:rsidR="00110BB3" w:rsidRDefault="00110BB3">
      <w:pPr>
        <w:numPr>
          <w:ilvl w:val="0"/>
          <w:numId w:val="8"/>
        </w:numPr>
        <w:tabs>
          <w:tab w:val="left" w:pos="740"/>
        </w:tabs>
        <w:spacing w:line="0" w:lineRule="atLeast"/>
        <w:ind w:left="740" w:hanging="646"/>
        <w:rPr>
          <w:color w:val="AD0101"/>
          <w:sz w:val="32"/>
        </w:rPr>
      </w:pPr>
      <w:r>
        <w:rPr>
          <w:color w:val="AD0101"/>
          <w:sz w:val="32"/>
        </w:rPr>
        <w:t>Référentiels de codage</w:t>
      </w:r>
    </w:p>
    <w:p w:rsidR="00110BB3" w:rsidRDefault="00110BB3">
      <w:pPr>
        <w:spacing w:line="132" w:lineRule="exact"/>
        <w:rPr>
          <w:rFonts w:ascii="Times New Roman" w:eastAsia="Times New Roman" w:hAnsi="Times New Roman"/>
        </w:rPr>
      </w:pPr>
    </w:p>
    <w:p w:rsidR="00110BB3" w:rsidRDefault="00110BB3">
      <w:pPr>
        <w:spacing w:line="257" w:lineRule="auto"/>
        <w:ind w:left="40" w:firstLine="360"/>
        <w:jc w:val="both"/>
        <w:rPr>
          <w:rFonts w:ascii="Garamond" w:eastAsia="Garamond" w:hAnsi="Garamond"/>
          <w:sz w:val="22"/>
        </w:rPr>
      </w:pPr>
      <w:r>
        <w:rPr>
          <w:rFonts w:ascii="Garamond" w:eastAsia="Garamond" w:hAnsi="Garamond"/>
          <w:sz w:val="22"/>
        </w:rPr>
        <w:t xml:space="preserve">Le codage de la </w:t>
      </w:r>
      <w:r>
        <w:rPr>
          <w:rFonts w:ascii="Garamond" w:eastAsia="Garamond" w:hAnsi="Garamond"/>
          <w:b/>
          <w:sz w:val="22"/>
        </w:rPr>
        <w:t>maladie rénale initiale</w:t>
      </w:r>
      <w:r>
        <w:rPr>
          <w:rFonts w:ascii="Garamond" w:eastAsia="Garamond" w:hAnsi="Garamond"/>
          <w:sz w:val="22"/>
        </w:rPr>
        <w:t xml:space="preserve"> à l’origine de l’insuffisance rénale chronique est effectué au moyen du Thésaurus de Néphrologie élaboré par un groupe d’experts de la Société de Néphrologie et validé par le Pôle d’Expertise et de Référence National des Nomenclatures de Santé (PERNNS). Ce thésaurus inclut</w:t>
      </w:r>
    </w:p>
    <w:p w:rsidR="00110BB3" w:rsidRDefault="00110BB3">
      <w:pPr>
        <w:spacing w:line="213" w:lineRule="auto"/>
        <w:ind w:left="40"/>
        <w:rPr>
          <w:rFonts w:ascii="Garamond" w:eastAsia="Garamond" w:hAnsi="Garamond"/>
          <w:sz w:val="22"/>
        </w:rPr>
      </w:pPr>
      <w:r>
        <w:rPr>
          <w:rFonts w:ascii="Garamond" w:eastAsia="Garamond" w:hAnsi="Garamond"/>
          <w:sz w:val="22"/>
        </w:rPr>
        <w:t>un transcode vers la Classification Internationale des Maladies 10</w:t>
      </w:r>
      <w:r>
        <w:rPr>
          <w:rFonts w:ascii="Garamond" w:eastAsia="Garamond" w:hAnsi="Garamond"/>
          <w:sz w:val="12"/>
        </w:rPr>
        <w:t>ème</w:t>
      </w:r>
      <w:r>
        <w:rPr>
          <w:rFonts w:ascii="Garamond" w:eastAsia="Garamond" w:hAnsi="Garamond"/>
          <w:sz w:val="22"/>
        </w:rPr>
        <w:t xml:space="preserve"> révision (CIM 10). Deux causes associées</w:t>
      </w:r>
    </w:p>
    <w:p w:rsidR="00110BB3" w:rsidRDefault="00110BB3">
      <w:pPr>
        <w:spacing w:line="36" w:lineRule="exact"/>
        <w:rPr>
          <w:rFonts w:ascii="Times New Roman" w:eastAsia="Times New Roman" w:hAnsi="Times New Roman"/>
        </w:rPr>
      </w:pPr>
    </w:p>
    <w:p w:rsidR="00110BB3" w:rsidRDefault="00110BB3">
      <w:pPr>
        <w:spacing w:line="226" w:lineRule="auto"/>
        <w:ind w:left="40"/>
        <w:jc w:val="both"/>
        <w:rPr>
          <w:rFonts w:ascii="Garamond" w:eastAsia="Garamond" w:hAnsi="Garamond"/>
          <w:sz w:val="22"/>
        </w:rPr>
      </w:pPr>
      <w:r>
        <w:rPr>
          <w:rFonts w:ascii="Garamond" w:eastAsia="Garamond" w:hAnsi="Garamond"/>
          <w:sz w:val="22"/>
        </w:rPr>
        <w:t>peuvent être également déclarées. Une évolution vers le Thesaurus du registre européen ERA EDTA est en cours d’instruction.</w:t>
      </w:r>
    </w:p>
    <w:p w:rsidR="00110BB3" w:rsidRDefault="00110BB3">
      <w:pPr>
        <w:spacing w:line="211" w:lineRule="exact"/>
        <w:rPr>
          <w:rFonts w:ascii="Times New Roman" w:eastAsia="Times New Roman" w:hAnsi="Times New Roman"/>
        </w:rPr>
      </w:pPr>
    </w:p>
    <w:p w:rsidR="00110BB3" w:rsidRDefault="00110BB3">
      <w:pPr>
        <w:spacing w:line="267" w:lineRule="auto"/>
        <w:ind w:left="40" w:firstLine="360"/>
        <w:rPr>
          <w:rFonts w:ascii="Garamond" w:eastAsia="Garamond" w:hAnsi="Garamond"/>
          <w:sz w:val="22"/>
        </w:rPr>
      </w:pPr>
      <w:r>
        <w:rPr>
          <w:rFonts w:ascii="Garamond" w:eastAsia="Garamond" w:hAnsi="Garamond"/>
          <w:sz w:val="22"/>
        </w:rPr>
        <w:t xml:space="preserve">Les </w:t>
      </w:r>
      <w:r>
        <w:rPr>
          <w:rFonts w:ascii="Garamond" w:eastAsia="Garamond" w:hAnsi="Garamond"/>
          <w:b/>
          <w:sz w:val="22"/>
        </w:rPr>
        <w:t>causes de décès</w:t>
      </w:r>
      <w:r>
        <w:rPr>
          <w:rFonts w:ascii="Garamond" w:eastAsia="Garamond" w:hAnsi="Garamond"/>
          <w:sz w:val="22"/>
        </w:rPr>
        <w:t xml:space="preserve"> seront codées en se servant d’une liste limitée de 50 codes (modification du 30 mai 2007). Si nécessaire, il est possible de coder « autre » puis de spécifier le(s) cause(s) en codant avec la CIM10.</w:t>
      </w:r>
    </w:p>
    <w:p w:rsidR="00110BB3" w:rsidRDefault="00110BB3">
      <w:pPr>
        <w:spacing w:line="248" w:lineRule="exact"/>
        <w:rPr>
          <w:rFonts w:ascii="Times New Roman" w:eastAsia="Times New Roman" w:hAnsi="Times New Roman"/>
        </w:rPr>
      </w:pPr>
    </w:p>
    <w:p w:rsidR="00110BB3" w:rsidRDefault="00110BB3">
      <w:pPr>
        <w:spacing w:line="222" w:lineRule="auto"/>
        <w:ind w:left="40" w:right="20" w:firstLine="360"/>
        <w:jc w:val="both"/>
        <w:rPr>
          <w:rFonts w:ascii="Garamond" w:eastAsia="Garamond" w:hAnsi="Garamond"/>
          <w:sz w:val="22"/>
        </w:rPr>
      </w:pPr>
      <w:r>
        <w:rPr>
          <w:rFonts w:ascii="Garamond" w:eastAsia="Garamond" w:hAnsi="Garamond"/>
          <w:sz w:val="22"/>
        </w:rPr>
        <w:t xml:space="preserve">La liste des </w:t>
      </w:r>
      <w:r>
        <w:rPr>
          <w:rFonts w:ascii="Garamond" w:eastAsia="Garamond" w:hAnsi="Garamond"/>
          <w:b/>
          <w:sz w:val="22"/>
        </w:rPr>
        <w:t>comorbidités</w:t>
      </w:r>
      <w:r>
        <w:rPr>
          <w:rFonts w:ascii="Garamond" w:eastAsia="Garamond" w:hAnsi="Garamond"/>
          <w:sz w:val="22"/>
        </w:rPr>
        <w:t xml:space="preserve"> peut être complétée en codant « autre » puis en renseignant un code de la CIM10.</w:t>
      </w:r>
    </w:p>
    <w:p w:rsidR="00110BB3" w:rsidRDefault="00110BB3">
      <w:pPr>
        <w:spacing w:line="222" w:lineRule="auto"/>
        <w:ind w:left="40" w:right="20" w:firstLine="360"/>
        <w:jc w:val="both"/>
        <w:rPr>
          <w:rFonts w:ascii="Garamond" w:eastAsia="Garamond" w:hAnsi="Garamond"/>
          <w:sz w:val="22"/>
        </w:rPr>
        <w:sectPr w:rsidR="00110BB3">
          <w:pgSz w:w="11900" w:h="16852"/>
          <w:pgMar w:top="1440" w:right="1279" w:bottom="0" w:left="1140" w:header="0" w:footer="0" w:gutter="0"/>
          <w:cols w:space="0" w:equalWidth="0">
            <w:col w:w="9480"/>
          </w:cols>
          <w:docGrid w:linePitch="360"/>
        </w:sectPr>
      </w:pPr>
    </w:p>
    <w:p w:rsidR="00110BB3" w:rsidRDefault="00110BB3">
      <w:pPr>
        <w:spacing w:line="200" w:lineRule="exact"/>
        <w:rPr>
          <w:rFonts w:ascii="Times New Roman" w:eastAsia="Times New Roman" w:hAnsi="Times New Roman"/>
        </w:rPr>
      </w:pPr>
    </w:p>
    <w:p w:rsidR="00110BB3" w:rsidRDefault="00110BB3">
      <w:pPr>
        <w:spacing w:line="232" w:lineRule="exact"/>
        <w:rPr>
          <w:rFonts w:ascii="Times New Roman" w:eastAsia="Times New Roman" w:hAnsi="Times New Roman"/>
        </w:rPr>
      </w:pPr>
    </w:p>
    <w:p w:rsidR="00110BB3" w:rsidRDefault="00C1015A">
      <w:pPr>
        <w:tabs>
          <w:tab w:val="left" w:pos="700"/>
        </w:tabs>
        <w:spacing w:line="0" w:lineRule="atLeast"/>
        <w:rPr>
          <w:color w:val="AD0101"/>
          <w:sz w:val="31"/>
        </w:rPr>
        <w:sectPr w:rsidR="00110BB3">
          <w:type w:val="continuous"/>
          <w:pgSz w:w="11900" w:h="16852"/>
          <w:pgMar w:top="1440" w:right="1279" w:bottom="0" w:left="1140" w:header="0" w:footer="0" w:gutter="0"/>
          <w:cols w:space="0" w:equalWidth="0">
            <w:col w:w="9480"/>
          </w:cols>
          <w:docGrid w:linePitch="360"/>
        </w:sectPr>
      </w:pPr>
      <w:r>
        <w:rPr>
          <w:color w:val="AD0101"/>
          <w:sz w:val="31"/>
        </w:rPr>
        <w:t>VI.</w:t>
      </w:r>
      <w:r>
        <w:rPr>
          <w:color w:val="AD0101"/>
          <w:sz w:val="31"/>
        </w:rPr>
        <w:tab/>
        <w:t>Instructions de codage</w:t>
      </w:r>
    </w:p>
    <w:p w:rsidR="00110BB3" w:rsidRDefault="00110BB3">
      <w:pPr>
        <w:spacing w:line="132" w:lineRule="exact"/>
        <w:rPr>
          <w:rFonts w:ascii="Times New Roman" w:eastAsia="Times New Roman" w:hAnsi="Times New Roman"/>
        </w:rPr>
      </w:pPr>
      <w:bookmarkStart w:id="5" w:name="page6"/>
      <w:bookmarkEnd w:id="5"/>
    </w:p>
    <w:p w:rsidR="00110BB3" w:rsidRDefault="00110BB3" w:rsidP="00DC1D42">
      <w:pPr>
        <w:spacing w:line="0" w:lineRule="atLeast"/>
        <w:ind w:left="40"/>
        <w:rPr>
          <w:rFonts w:ascii="Garamond" w:eastAsia="Garamond" w:hAnsi="Garamond"/>
          <w:b/>
          <w:sz w:val="22"/>
        </w:rPr>
      </w:pPr>
      <w:r>
        <w:rPr>
          <w:rFonts w:ascii="Garamond" w:eastAsia="Garamond" w:hAnsi="Garamond"/>
          <w:b/>
          <w:sz w:val="22"/>
        </w:rPr>
        <w:t>Les variables précédées d’une étoile (*</w:t>
      </w:r>
      <w:r w:rsidR="00DC1D42">
        <w:rPr>
          <w:rFonts w:ascii="Garamond" w:eastAsia="Garamond" w:hAnsi="Garamond"/>
          <w:b/>
          <w:sz w:val="22"/>
        </w:rPr>
        <w:t>) sont des données obligatoires</w:t>
      </w:r>
    </w:p>
    <w:p w:rsidR="00DC1D42" w:rsidRPr="00DC1D42" w:rsidRDefault="00DC1D42" w:rsidP="00DC1D42">
      <w:pPr>
        <w:spacing w:line="0" w:lineRule="atLeast"/>
        <w:ind w:left="40"/>
        <w:rPr>
          <w:rFonts w:ascii="Garamond" w:eastAsia="Garamond" w:hAnsi="Garamond"/>
          <w:b/>
          <w:sz w:val="22"/>
        </w:rPr>
      </w:pPr>
    </w:p>
    <w:p w:rsidR="00110BB3" w:rsidRDefault="00110BB3">
      <w:pPr>
        <w:spacing w:line="0" w:lineRule="atLeast"/>
        <w:jc w:val="center"/>
        <w:rPr>
          <w:color w:val="C00000"/>
          <w:sz w:val="32"/>
        </w:rPr>
      </w:pPr>
      <w:r>
        <w:rPr>
          <w:color w:val="C00000"/>
          <w:sz w:val="32"/>
        </w:rPr>
        <w:t xml:space="preserve">FICHE « DECLARATION INITIALE </w:t>
      </w:r>
      <w:r>
        <w:rPr>
          <w:b/>
          <w:color w:val="C00000"/>
          <w:sz w:val="32"/>
        </w:rPr>
        <w:t>–</w:t>
      </w:r>
      <w:r>
        <w:rPr>
          <w:color w:val="C00000"/>
          <w:sz w:val="32"/>
        </w:rPr>
        <w:t xml:space="preserve"> 1</w:t>
      </w:r>
      <w:r>
        <w:rPr>
          <w:color w:val="C00000"/>
          <w:sz w:val="42"/>
          <w:vertAlign w:val="superscript"/>
        </w:rPr>
        <w:t>ère</w:t>
      </w:r>
      <w:r>
        <w:rPr>
          <w:color w:val="C00000"/>
          <w:sz w:val="32"/>
        </w:rPr>
        <w:t xml:space="preserve"> INCLUSION »</w:t>
      </w:r>
    </w:p>
    <w:p w:rsidR="00110BB3" w:rsidRDefault="00110BB3">
      <w:pPr>
        <w:spacing w:line="200" w:lineRule="exact"/>
        <w:rPr>
          <w:rFonts w:ascii="Times New Roman" w:eastAsia="Times New Roman" w:hAnsi="Times New Roman"/>
        </w:rPr>
      </w:pPr>
    </w:p>
    <w:p w:rsidR="00110BB3" w:rsidRDefault="00110BB3">
      <w:pPr>
        <w:spacing w:line="239" w:lineRule="exact"/>
        <w:rPr>
          <w:rFonts w:ascii="Times New Roman" w:eastAsia="Times New Roman" w:hAnsi="Times New Roman"/>
        </w:rPr>
      </w:pPr>
    </w:p>
    <w:p w:rsidR="00110BB3" w:rsidRDefault="00110BB3">
      <w:pPr>
        <w:spacing w:line="0" w:lineRule="atLeast"/>
        <w:ind w:left="40"/>
        <w:rPr>
          <w:b/>
          <w:color w:val="AD0101"/>
          <w:sz w:val="28"/>
        </w:rPr>
      </w:pPr>
      <w:r>
        <w:rPr>
          <w:b/>
          <w:color w:val="AD0101"/>
          <w:sz w:val="28"/>
        </w:rPr>
        <w:t>A - Contexte</w:t>
      </w:r>
    </w:p>
    <w:p w:rsidR="00110BB3" w:rsidRDefault="00110BB3">
      <w:pPr>
        <w:spacing w:line="169" w:lineRule="exact"/>
        <w:rPr>
          <w:rFonts w:ascii="Times New Roman" w:eastAsia="Times New Roman" w:hAnsi="Times New Roman"/>
        </w:rPr>
      </w:pPr>
    </w:p>
    <w:p w:rsidR="00110BB3" w:rsidRDefault="00110BB3">
      <w:pPr>
        <w:spacing w:line="0" w:lineRule="atLeast"/>
        <w:ind w:left="40"/>
        <w:rPr>
          <w:rFonts w:ascii="Garamond" w:eastAsia="Garamond" w:hAnsi="Garamond"/>
          <w:sz w:val="22"/>
        </w:rPr>
      </w:pPr>
      <w:r>
        <w:rPr>
          <w:rFonts w:ascii="Garamond" w:eastAsia="Garamond" w:hAnsi="Garamond"/>
          <w:b/>
          <w:sz w:val="22"/>
        </w:rPr>
        <w:t xml:space="preserve">*Date de remplissage : </w:t>
      </w:r>
      <w:r>
        <w:rPr>
          <w:rFonts w:ascii="Garamond" w:eastAsia="Garamond" w:hAnsi="Garamond"/>
          <w:sz w:val="22"/>
        </w:rPr>
        <w:t>indiquer dans l’ordre le jour, le mois et l’année.</w:t>
      </w:r>
    </w:p>
    <w:p w:rsidR="00110BB3" w:rsidRDefault="00110BB3">
      <w:pPr>
        <w:spacing w:line="0" w:lineRule="atLeast"/>
        <w:ind w:left="40"/>
        <w:rPr>
          <w:rFonts w:ascii="Garamond" w:eastAsia="Garamond" w:hAnsi="Garamond"/>
          <w:sz w:val="22"/>
        </w:rPr>
      </w:pPr>
      <w:r>
        <w:rPr>
          <w:rFonts w:ascii="Garamond" w:eastAsia="Garamond" w:hAnsi="Garamond"/>
          <w:b/>
          <w:sz w:val="22"/>
        </w:rPr>
        <w:t xml:space="preserve">*Stade V, dialysé, greffé : </w:t>
      </w:r>
      <w:r>
        <w:rPr>
          <w:rFonts w:ascii="Garamond" w:eastAsia="Garamond" w:hAnsi="Garamond"/>
          <w:sz w:val="22"/>
        </w:rPr>
        <w:t>cocher la case correspondante.</w:t>
      </w:r>
    </w:p>
    <w:p w:rsidR="00110BB3" w:rsidRDefault="00110BB3">
      <w:pPr>
        <w:spacing w:line="0" w:lineRule="atLeast"/>
        <w:ind w:left="40"/>
        <w:rPr>
          <w:rFonts w:ascii="Garamond" w:eastAsia="Garamond" w:hAnsi="Garamond"/>
          <w:sz w:val="22"/>
        </w:rPr>
      </w:pPr>
      <w:r>
        <w:rPr>
          <w:rFonts w:ascii="Garamond" w:eastAsia="Garamond" w:hAnsi="Garamond"/>
          <w:b/>
          <w:sz w:val="22"/>
        </w:rPr>
        <w:t>*Date de début du 1</w:t>
      </w:r>
      <w:r>
        <w:rPr>
          <w:rFonts w:ascii="Garamond" w:eastAsia="Garamond" w:hAnsi="Garamond"/>
          <w:b/>
          <w:sz w:val="13"/>
        </w:rPr>
        <w:t>er</w:t>
      </w:r>
      <w:r>
        <w:rPr>
          <w:rFonts w:ascii="Garamond" w:eastAsia="Garamond" w:hAnsi="Garamond"/>
          <w:b/>
          <w:sz w:val="22"/>
        </w:rPr>
        <w:t xml:space="preserve"> traitement de suppléance : </w:t>
      </w:r>
      <w:r>
        <w:rPr>
          <w:rFonts w:ascii="Garamond" w:eastAsia="Garamond" w:hAnsi="Garamond"/>
          <w:sz w:val="22"/>
        </w:rPr>
        <w:t>indiquer dans l’ordre le jour, le mois et l’année. En cas de</w:t>
      </w:r>
    </w:p>
    <w:p w:rsidR="00110BB3" w:rsidRDefault="00110BB3">
      <w:pPr>
        <w:spacing w:line="66" w:lineRule="exact"/>
        <w:rPr>
          <w:rFonts w:ascii="Times New Roman" w:eastAsia="Times New Roman" w:hAnsi="Times New Roman"/>
        </w:rPr>
      </w:pPr>
    </w:p>
    <w:p w:rsidR="00110BB3" w:rsidRDefault="00110BB3">
      <w:pPr>
        <w:spacing w:line="222" w:lineRule="auto"/>
        <w:ind w:left="40"/>
        <w:rPr>
          <w:rFonts w:ascii="Garamond" w:eastAsia="Garamond" w:hAnsi="Garamond"/>
          <w:sz w:val="22"/>
        </w:rPr>
      </w:pPr>
      <w:r>
        <w:rPr>
          <w:rFonts w:ascii="Garamond" w:eastAsia="Garamond" w:hAnsi="Garamond"/>
          <w:sz w:val="22"/>
        </w:rPr>
        <w:t>données inconnues : si seul le jour est manquant, mettre le 15 du mois ; si le jour et le mois sont manquants, mettre le 30-06.</w:t>
      </w:r>
    </w:p>
    <w:p w:rsidR="00110BB3" w:rsidRDefault="00110BB3">
      <w:pPr>
        <w:spacing w:line="315" w:lineRule="exact"/>
        <w:rPr>
          <w:rFonts w:ascii="Times New Roman" w:eastAsia="Times New Roman" w:hAnsi="Times New Roman"/>
        </w:rPr>
      </w:pPr>
    </w:p>
    <w:p w:rsidR="00110BB3" w:rsidRDefault="00110BB3">
      <w:pPr>
        <w:spacing w:line="0" w:lineRule="atLeast"/>
        <w:ind w:left="40"/>
        <w:rPr>
          <w:b/>
          <w:color w:val="AD0101"/>
          <w:sz w:val="28"/>
        </w:rPr>
      </w:pPr>
      <w:r>
        <w:rPr>
          <w:b/>
          <w:color w:val="AD0101"/>
          <w:sz w:val="28"/>
        </w:rPr>
        <w:t>B - Identification du patient</w:t>
      </w:r>
    </w:p>
    <w:p w:rsidR="00110BB3" w:rsidRDefault="00110BB3">
      <w:pPr>
        <w:spacing w:line="118" w:lineRule="exact"/>
        <w:rPr>
          <w:rFonts w:ascii="Times New Roman" w:eastAsia="Times New Roman" w:hAnsi="Times New Roman"/>
        </w:rPr>
      </w:pPr>
    </w:p>
    <w:p w:rsidR="00110BB3" w:rsidRDefault="00110BB3">
      <w:pPr>
        <w:spacing w:line="0" w:lineRule="atLeast"/>
        <w:ind w:left="40"/>
        <w:rPr>
          <w:rFonts w:ascii="Garamond" w:eastAsia="Garamond" w:hAnsi="Garamond"/>
          <w:b/>
          <w:sz w:val="22"/>
        </w:rPr>
      </w:pPr>
      <w:r>
        <w:rPr>
          <w:rFonts w:ascii="Garamond" w:eastAsia="Garamond" w:hAnsi="Garamond"/>
          <w:b/>
          <w:sz w:val="22"/>
        </w:rPr>
        <w:t>Numéro d’identification :</w:t>
      </w:r>
    </w:p>
    <w:p w:rsidR="00110BB3" w:rsidRDefault="00110BB3">
      <w:pPr>
        <w:spacing w:line="277" w:lineRule="exact"/>
        <w:rPr>
          <w:rFonts w:ascii="Times New Roman" w:eastAsia="Times New Roman" w:hAnsi="Times New Roman"/>
        </w:rPr>
      </w:pPr>
    </w:p>
    <w:p w:rsidR="00110BB3" w:rsidRDefault="00110BB3">
      <w:pPr>
        <w:spacing w:line="0" w:lineRule="atLeast"/>
        <w:ind w:left="40"/>
        <w:rPr>
          <w:rFonts w:ascii="Garamond" w:eastAsia="Garamond" w:hAnsi="Garamond"/>
          <w:sz w:val="22"/>
        </w:rPr>
      </w:pPr>
      <w:r>
        <w:rPr>
          <w:rFonts w:ascii="Garamond" w:eastAsia="Garamond" w:hAnsi="Garamond"/>
          <w:b/>
          <w:sz w:val="22"/>
        </w:rPr>
        <w:t xml:space="preserve">*Nom et prénom </w:t>
      </w:r>
      <w:r>
        <w:rPr>
          <w:rFonts w:ascii="Garamond" w:eastAsia="Garamond" w:hAnsi="Garamond"/>
          <w:sz w:val="22"/>
        </w:rPr>
        <w:t>: indiquer le nom patronymique (nom de naissance) et les prénoms du patient, ainsi que le</w:t>
      </w:r>
    </w:p>
    <w:p w:rsidR="00110BB3" w:rsidRDefault="00110BB3">
      <w:pPr>
        <w:spacing w:line="33" w:lineRule="exact"/>
        <w:rPr>
          <w:rFonts w:ascii="Times New Roman" w:eastAsia="Times New Roman" w:hAnsi="Times New Roman"/>
        </w:rPr>
      </w:pPr>
    </w:p>
    <w:p w:rsidR="00110BB3" w:rsidRDefault="00110BB3">
      <w:pPr>
        <w:spacing w:line="234" w:lineRule="auto"/>
        <w:ind w:left="40" w:right="20"/>
        <w:rPr>
          <w:rFonts w:ascii="Garamond" w:eastAsia="Garamond" w:hAnsi="Garamond"/>
          <w:sz w:val="22"/>
        </w:rPr>
      </w:pPr>
      <w:r>
        <w:rPr>
          <w:rFonts w:ascii="Garamond" w:eastAsia="Garamond" w:hAnsi="Garamond"/>
          <w:sz w:val="22"/>
        </w:rPr>
        <w:t xml:space="preserve">nom d'épouse (nom marital) pour les femmes mariées. </w:t>
      </w:r>
      <w:r>
        <w:rPr>
          <w:rFonts w:ascii="Garamond" w:eastAsia="Garamond" w:hAnsi="Garamond"/>
          <w:b/>
          <w:sz w:val="22"/>
        </w:rPr>
        <w:t>Ces informations sont destinées à générer un</w:t>
      </w:r>
      <w:r>
        <w:rPr>
          <w:rFonts w:ascii="Garamond" w:eastAsia="Garamond" w:hAnsi="Garamond"/>
          <w:sz w:val="22"/>
        </w:rPr>
        <w:t xml:space="preserve"> </w:t>
      </w:r>
      <w:r>
        <w:rPr>
          <w:rFonts w:ascii="Garamond" w:eastAsia="Garamond" w:hAnsi="Garamond"/>
          <w:b/>
          <w:sz w:val="22"/>
        </w:rPr>
        <w:t xml:space="preserve">numéro d’identification unique </w:t>
      </w:r>
      <w:r>
        <w:rPr>
          <w:rFonts w:ascii="Garamond" w:eastAsia="Garamond" w:hAnsi="Garamond"/>
          <w:sz w:val="22"/>
        </w:rPr>
        <w:t>qui permet d’éliminer les doublons et d'assurer le suivi des patients en</w:t>
      </w:r>
    </w:p>
    <w:p w:rsidR="00110BB3" w:rsidRDefault="00110BB3">
      <w:pPr>
        <w:spacing w:line="184" w:lineRule="auto"/>
        <w:ind w:left="40"/>
        <w:rPr>
          <w:rFonts w:ascii="Garamond" w:eastAsia="Garamond" w:hAnsi="Garamond"/>
          <w:sz w:val="22"/>
        </w:rPr>
      </w:pPr>
      <w:r>
        <w:rPr>
          <w:rFonts w:ascii="Garamond" w:eastAsia="Garamond" w:hAnsi="Garamond"/>
          <w:sz w:val="22"/>
        </w:rPr>
        <w:t>dialyse et en greffe.</w:t>
      </w:r>
    </w:p>
    <w:p w:rsidR="00110BB3" w:rsidRDefault="00110BB3">
      <w:pPr>
        <w:spacing w:line="0" w:lineRule="atLeast"/>
        <w:ind w:left="40"/>
        <w:rPr>
          <w:rFonts w:ascii="Garamond" w:eastAsia="Garamond" w:hAnsi="Garamond"/>
          <w:b/>
          <w:sz w:val="22"/>
        </w:rPr>
      </w:pPr>
      <w:r>
        <w:rPr>
          <w:rFonts w:ascii="Garamond" w:eastAsia="Garamond" w:hAnsi="Garamond"/>
          <w:b/>
          <w:sz w:val="22"/>
        </w:rPr>
        <w:t>Lorsque le projet national d’identification de la population sera effectif, il sera possible de passer du</w:t>
      </w:r>
    </w:p>
    <w:p w:rsidR="00110BB3" w:rsidRDefault="00110BB3">
      <w:pPr>
        <w:numPr>
          <w:ilvl w:val="0"/>
          <w:numId w:val="9"/>
        </w:numPr>
        <w:tabs>
          <w:tab w:val="left" w:pos="200"/>
        </w:tabs>
        <w:spacing w:line="0" w:lineRule="atLeast"/>
        <w:ind w:left="200" w:hanging="159"/>
        <w:rPr>
          <w:rFonts w:ascii="Garamond" w:eastAsia="Garamond" w:hAnsi="Garamond"/>
          <w:b/>
          <w:sz w:val="22"/>
        </w:rPr>
      </w:pPr>
      <w:r>
        <w:rPr>
          <w:rFonts w:ascii="Garamond" w:eastAsia="Garamond" w:hAnsi="Garamond"/>
          <w:b/>
          <w:sz w:val="22"/>
        </w:rPr>
        <w:t>numéro d’identification unique du registre » au « numéro d’identification national ».</w:t>
      </w:r>
    </w:p>
    <w:p w:rsidR="00110BB3" w:rsidRDefault="00110BB3">
      <w:pPr>
        <w:spacing w:line="249" w:lineRule="exact"/>
        <w:rPr>
          <w:rFonts w:ascii="Times New Roman" w:eastAsia="Times New Roman" w:hAnsi="Times New Roman"/>
        </w:rPr>
      </w:pPr>
    </w:p>
    <w:p w:rsidR="00110BB3" w:rsidRDefault="00110BB3">
      <w:pPr>
        <w:spacing w:line="267" w:lineRule="auto"/>
        <w:ind w:left="40"/>
        <w:rPr>
          <w:rFonts w:ascii="Garamond" w:eastAsia="Garamond" w:hAnsi="Garamond"/>
          <w:sz w:val="22"/>
        </w:rPr>
      </w:pPr>
      <w:r>
        <w:rPr>
          <w:rFonts w:ascii="Garamond" w:eastAsia="Garamond" w:hAnsi="Garamond"/>
          <w:b/>
          <w:sz w:val="22"/>
        </w:rPr>
        <w:t xml:space="preserve">*Date de naissance </w:t>
      </w:r>
      <w:r>
        <w:rPr>
          <w:rFonts w:ascii="Garamond" w:eastAsia="Garamond" w:hAnsi="Garamond"/>
          <w:sz w:val="22"/>
        </w:rPr>
        <w:t>: indiquer dans l’ordre le jour, le mois et l’année. En cas</w:t>
      </w:r>
      <w:r>
        <w:rPr>
          <w:rFonts w:ascii="Garamond" w:eastAsia="Garamond" w:hAnsi="Garamond"/>
          <w:b/>
          <w:sz w:val="22"/>
        </w:rPr>
        <w:t xml:space="preserve"> </w:t>
      </w:r>
      <w:r>
        <w:rPr>
          <w:rFonts w:ascii="Garamond" w:eastAsia="Garamond" w:hAnsi="Garamond"/>
          <w:sz w:val="22"/>
        </w:rPr>
        <w:t>de données inconnues : si seul le</w:t>
      </w:r>
      <w:r>
        <w:rPr>
          <w:rFonts w:ascii="Garamond" w:eastAsia="Garamond" w:hAnsi="Garamond"/>
          <w:b/>
          <w:sz w:val="22"/>
        </w:rPr>
        <w:t xml:space="preserve"> </w:t>
      </w:r>
      <w:r>
        <w:rPr>
          <w:rFonts w:ascii="Garamond" w:eastAsia="Garamond" w:hAnsi="Garamond"/>
          <w:sz w:val="22"/>
        </w:rPr>
        <w:t>jour est manquant, mettre le 15 du mois ; si le jour et le mois sont manquants, mettre le 30-06.</w:t>
      </w:r>
    </w:p>
    <w:p w:rsidR="00110BB3" w:rsidRDefault="00110BB3">
      <w:pPr>
        <w:spacing w:line="217" w:lineRule="exact"/>
        <w:rPr>
          <w:rFonts w:ascii="Times New Roman" w:eastAsia="Times New Roman" w:hAnsi="Times New Roman"/>
        </w:rPr>
      </w:pPr>
    </w:p>
    <w:p w:rsidR="00110BB3" w:rsidRDefault="00110BB3">
      <w:pPr>
        <w:spacing w:line="0" w:lineRule="atLeast"/>
        <w:ind w:left="40"/>
        <w:rPr>
          <w:rFonts w:ascii="Garamond" w:eastAsia="Garamond" w:hAnsi="Garamond"/>
          <w:sz w:val="22"/>
        </w:rPr>
      </w:pPr>
      <w:r>
        <w:rPr>
          <w:rFonts w:ascii="Garamond" w:eastAsia="Garamond" w:hAnsi="Garamond"/>
          <w:b/>
          <w:sz w:val="22"/>
        </w:rPr>
        <w:t xml:space="preserve">*Lieu de naissance </w:t>
      </w:r>
      <w:r>
        <w:rPr>
          <w:rFonts w:ascii="Garamond" w:eastAsia="Garamond" w:hAnsi="Garamond"/>
          <w:sz w:val="22"/>
        </w:rPr>
        <w:t>: indiquer la ville et le pays.</w:t>
      </w:r>
    </w:p>
    <w:p w:rsidR="00110BB3" w:rsidRDefault="00110BB3">
      <w:pPr>
        <w:spacing w:line="247" w:lineRule="exact"/>
        <w:rPr>
          <w:rFonts w:ascii="Times New Roman" w:eastAsia="Times New Roman" w:hAnsi="Times New Roman"/>
        </w:rPr>
      </w:pPr>
    </w:p>
    <w:p w:rsidR="00110BB3" w:rsidRDefault="00110BB3">
      <w:pPr>
        <w:spacing w:line="0" w:lineRule="atLeast"/>
        <w:ind w:left="40"/>
        <w:rPr>
          <w:rFonts w:ascii="Garamond" w:eastAsia="Garamond" w:hAnsi="Garamond"/>
          <w:sz w:val="22"/>
        </w:rPr>
      </w:pPr>
      <w:r>
        <w:rPr>
          <w:rFonts w:ascii="Garamond" w:eastAsia="Garamond" w:hAnsi="Garamond"/>
          <w:b/>
          <w:sz w:val="22"/>
        </w:rPr>
        <w:t xml:space="preserve">*Sexe </w:t>
      </w:r>
      <w:r>
        <w:rPr>
          <w:rFonts w:ascii="Garamond" w:eastAsia="Garamond" w:hAnsi="Garamond"/>
          <w:sz w:val="22"/>
        </w:rPr>
        <w:t>: cocher la case correspondante : masculin ou féminin.</w:t>
      </w:r>
    </w:p>
    <w:p w:rsidR="00110BB3" w:rsidRDefault="00110BB3">
      <w:pPr>
        <w:spacing w:line="207" w:lineRule="exact"/>
        <w:rPr>
          <w:rFonts w:ascii="Times New Roman" w:eastAsia="Times New Roman" w:hAnsi="Times New Roman"/>
        </w:rPr>
      </w:pPr>
    </w:p>
    <w:p w:rsidR="00110BB3" w:rsidRDefault="00110BB3">
      <w:pPr>
        <w:spacing w:line="0" w:lineRule="atLeast"/>
        <w:ind w:left="40"/>
        <w:rPr>
          <w:rFonts w:ascii="Garamond" w:eastAsia="Garamond" w:hAnsi="Garamond"/>
          <w:sz w:val="22"/>
        </w:rPr>
      </w:pPr>
      <w:r>
        <w:rPr>
          <w:rFonts w:ascii="Garamond" w:eastAsia="Garamond" w:hAnsi="Garamond"/>
          <w:b/>
          <w:sz w:val="22"/>
        </w:rPr>
        <w:t xml:space="preserve">Niveau d’instruction </w:t>
      </w:r>
      <w:r>
        <w:rPr>
          <w:rFonts w:ascii="Garamond" w:eastAsia="Garamond" w:hAnsi="Garamond"/>
          <w:sz w:val="22"/>
        </w:rPr>
        <w:t>: cocher la case correspondante.</w:t>
      </w:r>
    </w:p>
    <w:p w:rsidR="00110BB3" w:rsidRDefault="00110BB3">
      <w:pPr>
        <w:spacing w:line="270"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Profession </w:t>
      </w:r>
      <w:r>
        <w:rPr>
          <w:rFonts w:ascii="Garamond" w:eastAsia="Garamond" w:hAnsi="Garamond"/>
          <w:sz w:val="22"/>
        </w:rPr>
        <w:t>: voir la liste des professions.</w:t>
      </w:r>
    </w:p>
    <w:p w:rsidR="00110BB3" w:rsidRDefault="00110BB3">
      <w:pPr>
        <w:spacing w:line="233" w:lineRule="exact"/>
        <w:rPr>
          <w:rFonts w:ascii="Times New Roman" w:eastAsia="Times New Roman" w:hAnsi="Times New Roman"/>
        </w:rPr>
      </w:pPr>
    </w:p>
    <w:p w:rsidR="00110BB3" w:rsidRDefault="00110BB3">
      <w:pPr>
        <w:spacing w:line="0" w:lineRule="atLeast"/>
        <w:ind w:left="40"/>
        <w:rPr>
          <w:rFonts w:ascii="Garamond" w:eastAsia="Garamond" w:hAnsi="Garamond"/>
          <w:sz w:val="22"/>
        </w:rPr>
      </w:pPr>
      <w:r>
        <w:rPr>
          <w:rFonts w:ascii="Garamond" w:eastAsia="Garamond" w:hAnsi="Garamond"/>
          <w:b/>
          <w:sz w:val="22"/>
        </w:rPr>
        <w:t xml:space="preserve">*Situation matrimoniale </w:t>
      </w:r>
      <w:r>
        <w:rPr>
          <w:rFonts w:ascii="Garamond" w:eastAsia="Garamond" w:hAnsi="Garamond"/>
          <w:sz w:val="22"/>
        </w:rPr>
        <w:t>: cocher la case correspondante.</w:t>
      </w:r>
    </w:p>
    <w:p w:rsidR="00110BB3" w:rsidRDefault="00110BB3">
      <w:pPr>
        <w:spacing w:line="216"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Lieu d’habitation </w:t>
      </w:r>
      <w:r>
        <w:rPr>
          <w:rFonts w:ascii="Garamond" w:eastAsia="Garamond" w:hAnsi="Garamond"/>
          <w:sz w:val="22"/>
        </w:rPr>
        <w:t>: indiquer la ville et le pays.</w:t>
      </w:r>
    </w:p>
    <w:p w:rsidR="00110BB3" w:rsidRDefault="00110BB3">
      <w:pPr>
        <w:spacing w:line="277"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*Couverture sociale </w:t>
      </w:r>
      <w:r>
        <w:rPr>
          <w:rFonts w:ascii="Garamond" w:eastAsia="Garamond" w:hAnsi="Garamond"/>
          <w:sz w:val="22"/>
        </w:rPr>
        <w:t>: cocher la case correspondante</w:t>
      </w:r>
    </w:p>
    <w:p w:rsidR="00110BB3" w:rsidRDefault="00110BB3">
      <w:pPr>
        <w:spacing w:line="241" w:lineRule="exact"/>
        <w:rPr>
          <w:rFonts w:ascii="Times New Roman" w:eastAsia="Times New Roman" w:hAnsi="Times New Roman"/>
        </w:rPr>
      </w:pPr>
    </w:p>
    <w:p w:rsidR="00110BB3" w:rsidRDefault="00110BB3">
      <w:pPr>
        <w:numPr>
          <w:ilvl w:val="0"/>
          <w:numId w:val="10"/>
        </w:numPr>
        <w:tabs>
          <w:tab w:val="left" w:pos="220"/>
        </w:tabs>
        <w:spacing w:line="0" w:lineRule="atLeast"/>
        <w:ind w:left="220" w:hanging="220"/>
        <w:rPr>
          <w:b/>
          <w:color w:val="AD0101"/>
          <w:sz w:val="28"/>
        </w:rPr>
      </w:pPr>
      <w:r>
        <w:rPr>
          <w:b/>
          <w:color w:val="AD0101"/>
          <w:sz w:val="28"/>
        </w:rPr>
        <w:t>– Centre de soins à l’inclusion</w:t>
      </w:r>
    </w:p>
    <w:p w:rsidR="00110BB3" w:rsidRDefault="00110BB3">
      <w:pPr>
        <w:spacing w:line="255" w:lineRule="exact"/>
        <w:rPr>
          <w:rFonts w:ascii="Times New Roman" w:eastAsia="Times New Roman" w:hAnsi="Times New Roman"/>
        </w:rPr>
      </w:pPr>
    </w:p>
    <w:p w:rsidR="00110BB3" w:rsidRDefault="00110BB3">
      <w:pPr>
        <w:spacing w:line="0" w:lineRule="atLeast"/>
        <w:ind w:left="40"/>
        <w:rPr>
          <w:rFonts w:ascii="Garamond" w:eastAsia="Garamond" w:hAnsi="Garamond"/>
          <w:sz w:val="22"/>
        </w:rPr>
      </w:pPr>
      <w:r>
        <w:rPr>
          <w:rFonts w:ascii="Garamond" w:eastAsia="Garamond" w:hAnsi="Garamond"/>
          <w:sz w:val="22"/>
        </w:rPr>
        <w:t>Le nom et le code du centre sont en lien avec la fiche de centre.</w:t>
      </w:r>
    </w:p>
    <w:p w:rsidR="00110BB3" w:rsidRDefault="00110BB3">
      <w:pPr>
        <w:spacing w:line="241" w:lineRule="exact"/>
        <w:rPr>
          <w:rFonts w:ascii="Times New Roman" w:eastAsia="Times New Roman" w:hAnsi="Times New Roman"/>
        </w:rPr>
      </w:pPr>
    </w:p>
    <w:p w:rsidR="00110BB3" w:rsidRDefault="00110BB3">
      <w:pPr>
        <w:spacing w:line="0" w:lineRule="atLeast"/>
        <w:ind w:left="40"/>
        <w:rPr>
          <w:b/>
          <w:color w:val="AD0101"/>
          <w:sz w:val="28"/>
        </w:rPr>
      </w:pPr>
      <w:r>
        <w:rPr>
          <w:b/>
          <w:color w:val="AD0101"/>
          <w:sz w:val="28"/>
        </w:rPr>
        <w:t>D – Données initiales</w:t>
      </w:r>
    </w:p>
    <w:p w:rsidR="00110BB3" w:rsidRDefault="00110BB3">
      <w:pPr>
        <w:spacing w:line="225" w:lineRule="exact"/>
        <w:rPr>
          <w:rFonts w:ascii="Times New Roman" w:eastAsia="Times New Roman" w:hAnsi="Times New Roman"/>
        </w:rPr>
      </w:pPr>
    </w:p>
    <w:p w:rsidR="00110BB3" w:rsidRDefault="00110BB3">
      <w:pPr>
        <w:spacing w:line="265" w:lineRule="auto"/>
        <w:ind w:right="740"/>
        <w:rPr>
          <w:rFonts w:ascii="Garamond" w:eastAsia="Garamond" w:hAnsi="Garamond"/>
          <w:b/>
          <w:color w:val="FF0000"/>
          <w:sz w:val="22"/>
        </w:rPr>
      </w:pPr>
      <w:r>
        <w:rPr>
          <w:rFonts w:ascii="Garamond" w:eastAsia="Garamond" w:hAnsi="Garamond"/>
          <w:b/>
          <w:color w:val="FF0000"/>
          <w:sz w:val="22"/>
        </w:rPr>
        <w:t>Informations à remplir uniquement pour les patients incidents. Il s’agit des nouveaux patients démarrant un traitement et / ou vu pour la première fois au stade V par un néphrologue.</w:t>
      </w:r>
    </w:p>
    <w:p w:rsidR="00110BB3" w:rsidRDefault="00110BB3">
      <w:pPr>
        <w:spacing w:line="197" w:lineRule="exact"/>
        <w:rPr>
          <w:rFonts w:ascii="Times New Roman" w:eastAsia="Times New Roman" w:hAnsi="Times New Roman"/>
        </w:rPr>
      </w:pPr>
    </w:p>
    <w:p w:rsidR="00110BB3" w:rsidRDefault="00110BB3">
      <w:pPr>
        <w:spacing w:line="0" w:lineRule="atLeast"/>
        <w:ind w:left="40"/>
        <w:rPr>
          <w:rFonts w:ascii="Garamond" w:eastAsia="Garamond" w:hAnsi="Garamond"/>
          <w:sz w:val="22"/>
        </w:rPr>
      </w:pPr>
      <w:r>
        <w:rPr>
          <w:rFonts w:ascii="Garamond" w:eastAsia="Garamond" w:hAnsi="Garamond"/>
          <w:b/>
          <w:sz w:val="22"/>
        </w:rPr>
        <w:t>Date de la 1</w:t>
      </w:r>
      <w:r>
        <w:rPr>
          <w:rFonts w:ascii="Garamond" w:eastAsia="Garamond" w:hAnsi="Garamond"/>
          <w:b/>
          <w:sz w:val="13"/>
        </w:rPr>
        <w:t>ère</w:t>
      </w:r>
      <w:r>
        <w:rPr>
          <w:rFonts w:ascii="Garamond" w:eastAsia="Garamond" w:hAnsi="Garamond"/>
          <w:b/>
          <w:sz w:val="22"/>
        </w:rPr>
        <w:t xml:space="preserve"> consultation en néphrologie </w:t>
      </w:r>
      <w:r>
        <w:rPr>
          <w:rFonts w:ascii="Garamond" w:eastAsia="Garamond" w:hAnsi="Garamond"/>
          <w:sz w:val="22"/>
        </w:rPr>
        <w:t>:</w:t>
      </w:r>
      <w:r>
        <w:rPr>
          <w:rFonts w:ascii="Garamond" w:eastAsia="Garamond" w:hAnsi="Garamond"/>
          <w:b/>
          <w:sz w:val="22"/>
        </w:rPr>
        <w:t xml:space="preserve"> </w:t>
      </w:r>
      <w:r>
        <w:rPr>
          <w:rFonts w:ascii="Garamond" w:eastAsia="Garamond" w:hAnsi="Garamond"/>
          <w:sz w:val="22"/>
        </w:rPr>
        <w:t>indiquer dans l’ordre le jour, le mois et l’année. En cas de</w:t>
      </w:r>
    </w:p>
    <w:p w:rsidR="00110BB3" w:rsidRDefault="00110BB3">
      <w:pPr>
        <w:spacing w:line="64" w:lineRule="exact"/>
        <w:rPr>
          <w:rFonts w:ascii="Times New Roman" w:eastAsia="Times New Roman" w:hAnsi="Times New Roman"/>
        </w:rPr>
      </w:pPr>
    </w:p>
    <w:p w:rsidR="00110BB3" w:rsidRDefault="00110BB3">
      <w:pPr>
        <w:spacing w:line="222" w:lineRule="auto"/>
        <w:ind w:left="40"/>
        <w:rPr>
          <w:rFonts w:ascii="Garamond" w:eastAsia="Garamond" w:hAnsi="Garamond"/>
          <w:sz w:val="22"/>
        </w:rPr>
      </w:pPr>
      <w:r>
        <w:rPr>
          <w:rFonts w:ascii="Garamond" w:eastAsia="Garamond" w:hAnsi="Garamond"/>
          <w:sz w:val="22"/>
        </w:rPr>
        <w:t>données inconnues : si seul le jour est manquant, mettre le 15 du mois ; si le jour et le mois sont manquants, mettre le 30-06.</w:t>
      </w:r>
    </w:p>
    <w:p w:rsidR="00110BB3" w:rsidRDefault="00110BB3">
      <w:pPr>
        <w:spacing w:line="1" w:lineRule="exact"/>
        <w:rPr>
          <w:rFonts w:ascii="Times New Roman" w:eastAsia="Times New Roman" w:hAnsi="Times New Roman"/>
        </w:rPr>
      </w:pPr>
    </w:p>
    <w:p w:rsidR="00110BB3" w:rsidRPr="00DC1D42" w:rsidRDefault="00110BB3" w:rsidP="00DC1D42">
      <w:pPr>
        <w:spacing w:line="0" w:lineRule="atLeast"/>
        <w:ind w:left="40"/>
        <w:rPr>
          <w:rFonts w:ascii="Garamond" w:eastAsia="Garamond" w:hAnsi="Garamond"/>
          <w:sz w:val="22"/>
        </w:rPr>
      </w:pPr>
      <w:r>
        <w:rPr>
          <w:rFonts w:ascii="Garamond" w:eastAsia="Garamond" w:hAnsi="Garamond"/>
          <w:sz w:val="22"/>
        </w:rPr>
        <w:t xml:space="preserve">A cette date, préciser la créatininémie </w:t>
      </w:r>
      <w:r w:rsidR="00C1015A">
        <w:rPr>
          <w:rFonts w:ascii="Garamond" w:eastAsia="Garamond" w:hAnsi="Garamond"/>
          <w:sz w:val="22"/>
        </w:rPr>
        <w:t>(en mg/l) et le DFG selon MDRD.</w:t>
      </w:r>
    </w:p>
    <w:p w:rsidR="00110BB3" w:rsidRDefault="00110BB3">
      <w:pPr>
        <w:spacing w:line="0" w:lineRule="atLeast"/>
        <w:ind w:left="40"/>
        <w:rPr>
          <w:rFonts w:ascii="Garamond" w:eastAsia="Garamond" w:hAnsi="Garamond"/>
          <w:sz w:val="22"/>
        </w:rPr>
      </w:pPr>
      <w:r>
        <w:rPr>
          <w:rFonts w:ascii="Garamond" w:eastAsia="Garamond" w:hAnsi="Garamond"/>
          <w:b/>
          <w:sz w:val="22"/>
        </w:rPr>
        <w:t xml:space="preserve">Maladie rénale initiale </w:t>
      </w:r>
      <w:r>
        <w:rPr>
          <w:rFonts w:ascii="Garamond" w:eastAsia="Garamond" w:hAnsi="Garamond"/>
          <w:sz w:val="22"/>
        </w:rPr>
        <w:t>:</w:t>
      </w:r>
    </w:p>
    <w:p w:rsidR="00110BB3" w:rsidRDefault="00110BB3">
      <w:pPr>
        <w:spacing w:line="0" w:lineRule="atLeast"/>
        <w:rPr>
          <w:rFonts w:ascii="Garamond" w:eastAsia="Garamond" w:hAnsi="Garamond"/>
          <w:sz w:val="22"/>
        </w:rPr>
        <w:sectPr w:rsidR="00110BB3">
          <w:pgSz w:w="11900" w:h="16874"/>
          <w:pgMar w:top="1440" w:right="1279" w:bottom="0" w:left="1140" w:header="0" w:footer="0" w:gutter="0"/>
          <w:cols w:space="0" w:equalWidth="0">
            <w:col w:w="9480"/>
          </w:cols>
          <w:docGrid w:linePitch="360"/>
        </w:sectPr>
      </w:pPr>
      <w:r>
        <w:rPr>
          <w:rFonts w:ascii="Garamond" w:eastAsia="Garamond" w:hAnsi="Garamond"/>
          <w:b/>
          <w:sz w:val="22"/>
        </w:rPr>
        <w:t xml:space="preserve">Biopsie rénale </w:t>
      </w:r>
      <w:r>
        <w:rPr>
          <w:rFonts w:ascii="Garamond" w:eastAsia="Garamond" w:hAnsi="Garamond"/>
          <w:sz w:val="22"/>
        </w:rPr>
        <w:t xml:space="preserve">: Cocher oui si le diagnostic de la maladie rénale initiale </w:t>
      </w:r>
      <w:r w:rsidR="00DC1D42">
        <w:rPr>
          <w:rFonts w:ascii="Garamond" w:eastAsia="Garamond" w:hAnsi="Garamond"/>
          <w:sz w:val="22"/>
        </w:rPr>
        <w:t>a été documenté par une biopsie</w:t>
      </w:r>
    </w:p>
    <w:p w:rsidR="00110BB3" w:rsidRDefault="00110BB3">
      <w:pPr>
        <w:spacing w:line="48" w:lineRule="exact"/>
        <w:rPr>
          <w:rFonts w:ascii="Times New Roman" w:eastAsia="Times New Roman" w:hAnsi="Times New Roman"/>
        </w:rPr>
      </w:pPr>
      <w:bookmarkStart w:id="6" w:name="page7"/>
      <w:bookmarkEnd w:id="6"/>
    </w:p>
    <w:p w:rsidR="00110BB3" w:rsidRDefault="00110BB3">
      <w:pPr>
        <w:spacing w:line="270" w:lineRule="auto"/>
        <w:ind w:right="20"/>
        <w:rPr>
          <w:rFonts w:ascii="Garamond" w:eastAsia="Garamond" w:hAnsi="Garamond"/>
          <w:sz w:val="22"/>
        </w:rPr>
      </w:pPr>
      <w:r>
        <w:rPr>
          <w:rFonts w:ascii="Garamond" w:eastAsia="Garamond" w:hAnsi="Garamond"/>
          <w:sz w:val="22"/>
        </w:rPr>
        <w:t>rénale, non s’il ne l’a pas été ou si la question est sans objet (ex : polykystose rénale). Si la biopsie a été réalisée mais non informative, on coche non car elle n’a pas contribué au codage de la néphropathie, qui reste un</w:t>
      </w:r>
    </w:p>
    <w:p w:rsidR="00110BB3" w:rsidRDefault="00110BB3">
      <w:pPr>
        <w:spacing w:line="207" w:lineRule="auto"/>
        <w:rPr>
          <w:rFonts w:ascii="Garamond" w:eastAsia="Garamond" w:hAnsi="Garamond"/>
          <w:sz w:val="22"/>
        </w:rPr>
      </w:pPr>
      <w:r>
        <w:rPr>
          <w:rFonts w:ascii="Garamond" w:eastAsia="Garamond" w:hAnsi="Garamond"/>
          <w:sz w:val="22"/>
        </w:rPr>
        <w:t>diagnostic de présomption.</w:t>
      </w:r>
    </w:p>
    <w:p w:rsidR="00110BB3" w:rsidRDefault="00110BB3">
      <w:pPr>
        <w:spacing w:line="0" w:lineRule="atLeast"/>
        <w:rPr>
          <w:rFonts w:ascii="Garamond" w:eastAsia="Garamond" w:hAnsi="Garamond"/>
          <w:sz w:val="22"/>
        </w:rPr>
      </w:pPr>
      <w:r>
        <w:rPr>
          <w:rFonts w:ascii="Garamond" w:eastAsia="Garamond" w:hAnsi="Garamond"/>
          <w:b/>
          <w:sz w:val="22"/>
        </w:rPr>
        <w:t xml:space="preserve">Echographie rénale </w:t>
      </w:r>
      <w:r>
        <w:rPr>
          <w:rFonts w:ascii="Garamond" w:eastAsia="Garamond" w:hAnsi="Garamond"/>
          <w:sz w:val="22"/>
        </w:rPr>
        <w:t>: cocher la case correspondante.</w:t>
      </w:r>
    </w:p>
    <w:p w:rsidR="00110BB3" w:rsidRDefault="00110BB3">
      <w:pPr>
        <w:spacing w:line="0" w:lineRule="atLeast"/>
        <w:rPr>
          <w:rFonts w:ascii="Garamond" w:eastAsia="Garamond" w:hAnsi="Garamond"/>
          <w:sz w:val="22"/>
        </w:rPr>
      </w:pPr>
      <w:r>
        <w:rPr>
          <w:rFonts w:ascii="Garamond" w:eastAsia="Garamond" w:hAnsi="Garamond"/>
          <w:b/>
          <w:sz w:val="22"/>
        </w:rPr>
        <w:t xml:space="preserve">Diagnostic </w:t>
      </w:r>
      <w:r>
        <w:rPr>
          <w:rFonts w:ascii="Garamond" w:eastAsia="Garamond" w:hAnsi="Garamond"/>
          <w:sz w:val="22"/>
        </w:rPr>
        <w:t>: Noter le code du Thésaurus de Néphrologie correspondant à la nature de la maladie rénale à</w:t>
      </w:r>
    </w:p>
    <w:p w:rsidR="00110BB3" w:rsidRDefault="00110BB3">
      <w:pPr>
        <w:spacing w:line="33" w:lineRule="exact"/>
        <w:rPr>
          <w:rFonts w:ascii="Times New Roman" w:eastAsia="Times New Roman" w:hAnsi="Times New Roman"/>
        </w:rPr>
      </w:pPr>
    </w:p>
    <w:p w:rsidR="00110BB3" w:rsidRDefault="00110BB3">
      <w:pPr>
        <w:spacing w:line="226" w:lineRule="auto"/>
        <w:rPr>
          <w:rFonts w:ascii="Garamond" w:eastAsia="Garamond" w:hAnsi="Garamond"/>
          <w:sz w:val="22"/>
        </w:rPr>
      </w:pPr>
      <w:r>
        <w:rPr>
          <w:rFonts w:ascii="Garamond" w:eastAsia="Garamond" w:hAnsi="Garamond"/>
          <w:sz w:val="22"/>
        </w:rPr>
        <w:t>l'origine de l'insuffisance rénale chronique et, si nécessaire, une ou deux causes. Attention pour les patients en retour de greffe, ne pas noter la cause de l’échec de greffe mais bien la néphropathie responsable de la</w:t>
      </w:r>
    </w:p>
    <w:p w:rsidR="00110BB3" w:rsidRDefault="00110BB3">
      <w:pPr>
        <w:spacing w:line="28" w:lineRule="exact"/>
        <w:rPr>
          <w:rFonts w:ascii="Times New Roman" w:eastAsia="Times New Roman" w:hAnsi="Times New Roman"/>
        </w:rPr>
      </w:pPr>
    </w:p>
    <w:p w:rsidR="00110BB3" w:rsidRDefault="00110BB3">
      <w:pPr>
        <w:spacing w:line="207" w:lineRule="auto"/>
        <w:rPr>
          <w:rFonts w:ascii="Garamond" w:eastAsia="Garamond" w:hAnsi="Garamond"/>
          <w:sz w:val="22"/>
        </w:rPr>
      </w:pPr>
      <w:r>
        <w:rPr>
          <w:rFonts w:ascii="Garamond" w:eastAsia="Garamond" w:hAnsi="Garamond"/>
          <w:sz w:val="22"/>
        </w:rPr>
        <w:t>défaillance terminale des reins propres. En cas de néphropathies mixtes, par ex : glomérulosclérose diabétique et néphroangiosclérose, et en l’absence de possibilité de trancher sur la prépondérance d’une cause par rapport</w:t>
      </w:r>
    </w:p>
    <w:p w:rsidR="00110BB3" w:rsidRDefault="00110BB3">
      <w:pPr>
        <w:spacing w:line="1" w:lineRule="exact"/>
        <w:rPr>
          <w:rFonts w:ascii="Times New Roman" w:eastAsia="Times New Roman" w:hAnsi="Times New Roman"/>
        </w:rPr>
      </w:pPr>
    </w:p>
    <w:p w:rsidR="00110BB3" w:rsidRDefault="00110BB3">
      <w:pPr>
        <w:numPr>
          <w:ilvl w:val="0"/>
          <w:numId w:val="11"/>
        </w:numPr>
        <w:tabs>
          <w:tab w:val="left" w:pos="165"/>
        </w:tabs>
        <w:spacing w:line="274" w:lineRule="auto"/>
        <w:rPr>
          <w:rFonts w:ascii="Garamond" w:eastAsia="Garamond" w:hAnsi="Garamond"/>
          <w:sz w:val="22"/>
        </w:rPr>
      </w:pPr>
      <w:r>
        <w:rPr>
          <w:rFonts w:ascii="Garamond" w:eastAsia="Garamond" w:hAnsi="Garamond"/>
          <w:sz w:val="22"/>
        </w:rPr>
        <w:t>l’autre, il convient de coder « néphropathie inclassable par insuffisance d’information 0702NL» et coder le diabète et l’hypertension comme causes associées.</w:t>
      </w:r>
    </w:p>
    <w:p w:rsidR="00110BB3" w:rsidRDefault="00110BB3">
      <w:pPr>
        <w:spacing w:line="198" w:lineRule="exact"/>
        <w:rPr>
          <w:rFonts w:ascii="Times New Roman" w:eastAsia="Times New Roman" w:hAnsi="Times New Roman"/>
        </w:rPr>
      </w:pPr>
    </w:p>
    <w:p w:rsidR="00110BB3" w:rsidRDefault="00110BB3">
      <w:pPr>
        <w:spacing w:line="0" w:lineRule="atLeast"/>
        <w:ind w:left="40"/>
        <w:rPr>
          <w:b/>
          <w:color w:val="AD0101"/>
          <w:sz w:val="28"/>
        </w:rPr>
      </w:pPr>
      <w:r>
        <w:rPr>
          <w:b/>
          <w:color w:val="AD0101"/>
          <w:sz w:val="28"/>
        </w:rPr>
        <w:t>E – Etat clinique actuel</w:t>
      </w:r>
    </w:p>
    <w:p w:rsidR="00110BB3" w:rsidRDefault="00110BB3">
      <w:pPr>
        <w:spacing w:line="349"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Activité actuelle </w:t>
      </w:r>
      <w:r>
        <w:rPr>
          <w:rFonts w:ascii="Garamond" w:eastAsia="Garamond" w:hAnsi="Garamond"/>
          <w:sz w:val="22"/>
        </w:rPr>
        <w:t>: cocher la case correspondante.</w:t>
      </w:r>
    </w:p>
    <w:p w:rsidR="00110BB3" w:rsidRDefault="00110BB3">
      <w:pPr>
        <w:spacing w:line="283" w:lineRule="exact"/>
        <w:rPr>
          <w:rFonts w:ascii="Times New Roman" w:eastAsia="Times New Roman" w:hAnsi="Times New Roman"/>
        </w:rPr>
      </w:pPr>
    </w:p>
    <w:p w:rsidR="00110BB3" w:rsidRDefault="00110BB3">
      <w:pPr>
        <w:spacing w:line="227" w:lineRule="auto"/>
        <w:ind w:right="20"/>
        <w:jc w:val="both"/>
        <w:rPr>
          <w:rFonts w:ascii="Garamond" w:eastAsia="Garamond" w:hAnsi="Garamond"/>
          <w:sz w:val="22"/>
        </w:rPr>
      </w:pPr>
      <w:r>
        <w:rPr>
          <w:rFonts w:ascii="Garamond" w:eastAsia="Garamond" w:hAnsi="Garamond"/>
          <w:b/>
          <w:sz w:val="22"/>
        </w:rPr>
        <w:t xml:space="preserve">Poids </w:t>
      </w:r>
      <w:r>
        <w:rPr>
          <w:rFonts w:ascii="Garamond" w:eastAsia="Garamond" w:hAnsi="Garamond"/>
          <w:sz w:val="22"/>
        </w:rPr>
        <w:t>:</w:t>
      </w:r>
      <w:r>
        <w:rPr>
          <w:rFonts w:ascii="Garamond" w:eastAsia="Garamond" w:hAnsi="Garamond"/>
          <w:b/>
          <w:sz w:val="22"/>
        </w:rPr>
        <w:t xml:space="preserve"> </w:t>
      </w:r>
      <w:r>
        <w:rPr>
          <w:rFonts w:ascii="Garamond" w:eastAsia="Garamond" w:hAnsi="Garamond"/>
          <w:color w:val="FF0000"/>
          <w:sz w:val="22"/>
        </w:rPr>
        <w:t>indiquer le poids chez le Stade V et le Greffé. Chez le dialysé,</w:t>
      </w:r>
      <w:r>
        <w:rPr>
          <w:rFonts w:ascii="Garamond" w:eastAsia="Garamond" w:hAnsi="Garamond"/>
          <w:b/>
          <w:sz w:val="22"/>
        </w:rPr>
        <w:t xml:space="preserve"> </w:t>
      </w:r>
      <w:r>
        <w:rPr>
          <w:rFonts w:ascii="Garamond" w:eastAsia="Garamond" w:hAnsi="Garamond"/>
          <w:sz w:val="22"/>
        </w:rPr>
        <w:t>indiquer le poids de fin de dialyse le plus</w:t>
      </w:r>
      <w:r>
        <w:rPr>
          <w:rFonts w:ascii="Garamond" w:eastAsia="Garamond" w:hAnsi="Garamond"/>
          <w:b/>
          <w:sz w:val="22"/>
        </w:rPr>
        <w:t xml:space="preserve"> </w:t>
      </w:r>
      <w:r>
        <w:rPr>
          <w:rFonts w:ascii="Garamond" w:eastAsia="Garamond" w:hAnsi="Garamond"/>
          <w:sz w:val="22"/>
        </w:rPr>
        <w:t>récemment mesuré, lorsque le patient a atteint un état stable (à distance des toutes premières séances), en arrondissant au kg le plus proche.</w:t>
      </w:r>
    </w:p>
    <w:p w:rsidR="00110BB3" w:rsidRDefault="00110BB3">
      <w:pPr>
        <w:spacing w:line="220" w:lineRule="exact"/>
        <w:rPr>
          <w:rFonts w:ascii="Times New Roman" w:eastAsia="Times New Roman" w:hAnsi="Times New Roman"/>
        </w:rPr>
      </w:pPr>
    </w:p>
    <w:p w:rsidR="00110BB3" w:rsidRDefault="00110BB3">
      <w:pPr>
        <w:spacing w:line="267" w:lineRule="auto"/>
        <w:jc w:val="both"/>
        <w:rPr>
          <w:rFonts w:ascii="Garamond" w:eastAsia="Garamond" w:hAnsi="Garamond"/>
          <w:sz w:val="22"/>
        </w:rPr>
      </w:pPr>
      <w:r>
        <w:rPr>
          <w:rFonts w:ascii="Garamond" w:eastAsia="Garamond" w:hAnsi="Garamond"/>
          <w:b/>
          <w:sz w:val="22"/>
        </w:rPr>
        <w:t xml:space="preserve">Taille : </w:t>
      </w:r>
      <w:r>
        <w:rPr>
          <w:rFonts w:ascii="Garamond" w:eastAsia="Garamond" w:hAnsi="Garamond"/>
          <w:sz w:val="22"/>
        </w:rPr>
        <w:t>indiquer la taille mesurée en centimètres, en position</w:t>
      </w:r>
      <w:r>
        <w:rPr>
          <w:rFonts w:ascii="Garamond" w:eastAsia="Garamond" w:hAnsi="Garamond"/>
          <w:b/>
          <w:sz w:val="22"/>
        </w:rPr>
        <w:t xml:space="preserve"> </w:t>
      </w:r>
      <w:r>
        <w:rPr>
          <w:rFonts w:ascii="Garamond" w:eastAsia="Garamond" w:hAnsi="Garamond"/>
          <w:sz w:val="22"/>
        </w:rPr>
        <w:t>debout si possible. En cas d’amputation des</w:t>
      </w:r>
      <w:r>
        <w:rPr>
          <w:rFonts w:ascii="Garamond" w:eastAsia="Garamond" w:hAnsi="Garamond"/>
          <w:b/>
          <w:sz w:val="22"/>
        </w:rPr>
        <w:t xml:space="preserve"> </w:t>
      </w:r>
      <w:r>
        <w:rPr>
          <w:rFonts w:ascii="Garamond" w:eastAsia="Garamond" w:hAnsi="Garamond"/>
          <w:sz w:val="22"/>
        </w:rPr>
        <w:t>membres inférieurs, indiquer la taille avant amputation.</w:t>
      </w:r>
    </w:p>
    <w:p w:rsidR="00110BB3" w:rsidRDefault="00110BB3">
      <w:pPr>
        <w:spacing w:line="189"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Indice de masse corporelle </w:t>
      </w:r>
      <w:r>
        <w:rPr>
          <w:rFonts w:ascii="Garamond" w:eastAsia="Garamond" w:hAnsi="Garamond"/>
          <w:sz w:val="22"/>
        </w:rPr>
        <w:t>: calculer l’IMC si le poids et la taille sont mentionnés.</w:t>
      </w:r>
    </w:p>
    <w:p w:rsidR="00110BB3" w:rsidRDefault="00110BB3">
      <w:pPr>
        <w:spacing w:line="249"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Hémoglobine </w:t>
      </w:r>
      <w:r>
        <w:rPr>
          <w:rFonts w:ascii="Garamond" w:eastAsia="Garamond" w:hAnsi="Garamond"/>
          <w:sz w:val="22"/>
        </w:rPr>
        <w:t>: indiquer le taux d’hémoglobine (en g/dl) datant de moins d’un mois ou le dernier disponible.</w:t>
      </w:r>
    </w:p>
    <w:p w:rsidR="00110BB3" w:rsidRDefault="00110BB3">
      <w:pPr>
        <w:spacing w:line="28"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Préciser la date de ce bilan.</w:t>
      </w:r>
    </w:p>
    <w:p w:rsidR="00110BB3" w:rsidRDefault="00110BB3">
      <w:pPr>
        <w:spacing w:line="283" w:lineRule="exact"/>
        <w:rPr>
          <w:rFonts w:ascii="Times New Roman" w:eastAsia="Times New Roman" w:hAnsi="Times New Roman"/>
        </w:rPr>
      </w:pPr>
    </w:p>
    <w:p w:rsidR="00110BB3" w:rsidRPr="00DC1D42" w:rsidRDefault="00110BB3" w:rsidP="00DC1D42">
      <w:pPr>
        <w:spacing w:line="237" w:lineRule="auto"/>
        <w:jc w:val="both"/>
        <w:rPr>
          <w:rFonts w:ascii="Garamond" w:eastAsia="Garamond" w:hAnsi="Garamond"/>
          <w:sz w:val="22"/>
        </w:rPr>
      </w:pPr>
      <w:r>
        <w:rPr>
          <w:rFonts w:ascii="Garamond" w:eastAsia="Garamond" w:hAnsi="Garamond"/>
          <w:b/>
          <w:sz w:val="22"/>
        </w:rPr>
        <w:t xml:space="preserve">Comorbidités, Antécédents, Facteurs de risque </w:t>
      </w:r>
      <w:r>
        <w:rPr>
          <w:rFonts w:ascii="Garamond" w:eastAsia="Garamond" w:hAnsi="Garamond"/>
          <w:sz w:val="22"/>
        </w:rPr>
        <w:t>: cocher toutes les cases appropriées : oui, non, information</w:t>
      </w:r>
      <w:r>
        <w:rPr>
          <w:rFonts w:ascii="Garamond" w:eastAsia="Garamond" w:hAnsi="Garamond"/>
          <w:b/>
          <w:sz w:val="22"/>
        </w:rPr>
        <w:t xml:space="preserve"> </w:t>
      </w:r>
      <w:r>
        <w:rPr>
          <w:rFonts w:ascii="Garamond" w:eastAsia="Garamond" w:hAnsi="Garamond"/>
          <w:sz w:val="22"/>
        </w:rPr>
        <w:t xml:space="preserve">non disponible. La valeur par défaut d’un item lorsque toutes les cases sont vides, est celle d’une ‘donnée manquante’ qui fera l’objet d’un contrôle de qualité et/ou d’une saisie ultérieure. Si l’information a été recherchée de façon sérieuse mais qu’elle n’est pas disponible dans le dossier médical (dossier classé, patient transféré etc…), il est possible de cocher ‘non disponible’ afin d’arrêter les procédures de contrôle qualité. Lorsque la personne qui va chercher l’information dans le dossier médical n’est pas le néphrologue traitant du patient, on peut considérer par défaut que lorsque une comorbidité n’est pas signalée dans le dossier, c’est qu’elle est absente et peut donc être cochée à ‘non’. Ceci n’est pas valable pour le tabagisme, le traitement par insuline, les antécédents d’HTA </w:t>
      </w:r>
      <w:r>
        <w:rPr>
          <w:rFonts w:ascii="Garamond" w:eastAsia="Garamond" w:hAnsi="Garamond"/>
          <w:strike/>
          <w:sz w:val="22"/>
        </w:rPr>
        <w:t>essentielle</w:t>
      </w:r>
      <w:r w:rsidR="00DC1D42">
        <w:rPr>
          <w:rFonts w:ascii="Garamond" w:eastAsia="Garamond" w:hAnsi="Garamond"/>
          <w:sz w:val="22"/>
        </w:rPr>
        <w:t xml:space="preserve"> et les sérologies virales.</w:t>
      </w:r>
    </w:p>
    <w:p w:rsidR="00110BB3" w:rsidRDefault="00110BB3">
      <w:pPr>
        <w:spacing w:line="222" w:lineRule="auto"/>
        <w:ind w:right="20"/>
        <w:jc w:val="both"/>
        <w:rPr>
          <w:rFonts w:ascii="Garamond" w:eastAsia="Garamond" w:hAnsi="Garamond"/>
          <w:sz w:val="22"/>
        </w:rPr>
      </w:pPr>
      <w:r>
        <w:rPr>
          <w:rFonts w:ascii="Garamond" w:eastAsia="Garamond" w:hAnsi="Garamond"/>
          <w:sz w:val="22"/>
        </w:rPr>
        <w:t>Il s'agit de noter ici les états de santé pouvant accroître de façon importante la charge en soins et/ou menacer le pronostic vital à court ou moyen terme, ainsi que les facteurs pouvant aggraver le risque de morbi-mortalité.</w:t>
      </w:r>
    </w:p>
    <w:p w:rsidR="00110BB3" w:rsidRDefault="00110BB3">
      <w:pPr>
        <w:spacing w:line="246" w:lineRule="exact"/>
        <w:rPr>
          <w:rFonts w:ascii="Times New Roman" w:eastAsia="Times New Roman" w:hAnsi="Times New Roman"/>
        </w:rPr>
      </w:pPr>
    </w:p>
    <w:p w:rsidR="00110BB3" w:rsidRDefault="00110BB3">
      <w:pPr>
        <w:numPr>
          <w:ilvl w:val="0"/>
          <w:numId w:val="12"/>
        </w:numPr>
        <w:tabs>
          <w:tab w:val="left" w:pos="720"/>
        </w:tabs>
        <w:spacing w:line="0" w:lineRule="atLeast"/>
        <w:ind w:left="720" w:hanging="720"/>
        <w:rPr>
          <w:rFonts w:ascii="Courier New" w:eastAsia="Courier New" w:hAnsi="Courier New"/>
          <w:sz w:val="19"/>
        </w:rPr>
      </w:pPr>
      <w:r>
        <w:rPr>
          <w:rFonts w:ascii="Garamond" w:eastAsia="Garamond" w:hAnsi="Garamond"/>
          <w:i/>
          <w:sz w:val="22"/>
        </w:rPr>
        <w:t xml:space="preserve">Tabac </w:t>
      </w:r>
      <w:r>
        <w:rPr>
          <w:rFonts w:ascii="Garamond" w:eastAsia="Garamond" w:hAnsi="Garamond"/>
          <w:sz w:val="22"/>
        </w:rPr>
        <w:t>: cocher si le patient est fumeur actuel (au moins une cigarette par jour), ancien fumeur ou non-</w:t>
      </w:r>
    </w:p>
    <w:p w:rsidR="00110BB3" w:rsidRDefault="00110BB3">
      <w:pPr>
        <w:spacing w:line="237" w:lineRule="auto"/>
        <w:rPr>
          <w:rFonts w:ascii="Garamond" w:eastAsia="Garamond" w:hAnsi="Garamond"/>
          <w:sz w:val="22"/>
        </w:rPr>
      </w:pPr>
      <w:r>
        <w:rPr>
          <w:rFonts w:ascii="Garamond" w:eastAsia="Garamond" w:hAnsi="Garamond"/>
          <w:sz w:val="22"/>
        </w:rPr>
        <w:t>fumeur.</w:t>
      </w:r>
    </w:p>
    <w:p w:rsidR="00110BB3" w:rsidRDefault="00110BB3">
      <w:pPr>
        <w:spacing w:line="214" w:lineRule="exact"/>
        <w:rPr>
          <w:rFonts w:ascii="Courier New" w:eastAsia="Courier New" w:hAnsi="Courier New"/>
          <w:sz w:val="19"/>
        </w:rPr>
      </w:pPr>
    </w:p>
    <w:p w:rsidR="00110BB3" w:rsidRDefault="00110BB3">
      <w:pPr>
        <w:numPr>
          <w:ilvl w:val="0"/>
          <w:numId w:val="12"/>
        </w:numPr>
        <w:tabs>
          <w:tab w:val="left" w:pos="720"/>
        </w:tabs>
        <w:spacing w:line="0" w:lineRule="atLeast"/>
        <w:ind w:left="720" w:hanging="720"/>
        <w:rPr>
          <w:rFonts w:ascii="Courier New" w:eastAsia="Courier New" w:hAnsi="Courier New"/>
          <w:sz w:val="19"/>
        </w:rPr>
      </w:pPr>
      <w:r>
        <w:rPr>
          <w:rFonts w:ascii="Garamond" w:eastAsia="Garamond" w:hAnsi="Garamond"/>
          <w:i/>
          <w:sz w:val="22"/>
        </w:rPr>
        <w:t xml:space="preserve">Diabète </w:t>
      </w:r>
      <w:r>
        <w:rPr>
          <w:rFonts w:ascii="Garamond" w:eastAsia="Garamond" w:hAnsi="Garamond"/>
          <w:sz w:val="22"/>
        </w:rPr>
        <w:t>: défini par une glycémie à jeun ≥ 7,0</w:t>
      </w:r>
      <w:r>
        <w:rPr>
          <w:rFonts w:ascii="Garamond" w:eastAsia="Garamond" w:hAnsi="Garamond"/>
          <w:i/>
          <w:sz w:val="22"/>
        </w:rPr>
        <w:t xml:space="preserve"> </w:t>
      </w:r>
      <w:r>
        <w:rPr>
          <w:rFonts w:ascii="Garamond" w:eastAsia="Garamond" w:hAnsi="Garamond"/>
          <w:sz w:val="22"/>
        </w:rPr>
        <w:t>mmol/l (1,26 g/l) ou par une glycémie post-prandiale ≥</w:t>
      </w:r>
    </w:p>
    <w:p w:rsidR="00110BB3" w:rsidRDefault="00110BB3">
      <w:pPr>
        <w:spacing w:line="36" w:lineRule="exact"/>
        <w:rPr>
          <w:rFonts w:ascii="Courier New" w:eastAsia="Courier New" w:hAnsi="Courier New"/>
          <w:sz w:val="19"/>
        </w:rPr>
      </w:pPr>
    </w:p>
    <w:p w:rsidR="00110BB3" w:rsidRDefault="00110BB3">
      <w:pPr>
        <w:spacing w:line="227" w:lineRule="auto"/>
        <w:rPr>
          <w:rFonts w:ascii="Garamond" w:eastAsia="Garamond" w:hAnsi="Garamond"/>
          <w:sz w:val="22"/>
        </w:rPr>
      </w:pPr>
      <w:r>
        <w:rPr>
          <w:rFonts w:ascii="Garamond" w:eastAsia="Garamond" w:hAnsi="Garamond"/>
          <w:sz w:val="22"/>
        </w:rPr>
        <w:t>11,1 mmol/l (2 g/l) à deux reprises :</w:t>
      </w:r>
    </w:p>
    <w:p w:rsidR="00110BB3" w:rsidRDefault="00110BB3">
      <w:pPr>
        <w:spacing w:line="214" w:lineRule="auto"/>
        <w:rPr>
          <w:rFonts w:ascii="Garamond" w:eastAsia="Garamond" w:hAnsi="Garamond"/>
          <w:sz w:val="22"/>
        </w:rPr>
      </w:pPr>
      <w:r>
        <w:rPr>
          <w:rFonts w:ascii="Garamond" w:eastAsia="Garamond" w:hAnsi="Garamond"/>
          <w:sz w:val="22"/>
        </w:rPr>
        <w:t>- préciser si le diabète est de type 1 ou 2 :</w:t>
      </w:r>
    </w:p>
    <w:p w:rsidR="00110BB3" w:rsidRDefault="00110BB3">
      <w:pPr>
        <w:spacing w:line="1" w:lineRule="exact"/>
        <w:rPr>
          <w:rFonts w:ascii="Times New Roman" w:eastAsia="Times New Roman" w:hAnsi="Times New Roman"/>
        </w:rPr>
      </w:pPr>
    </w:p>
    <w:p w:rsidR="00110BB3" w:rsidRDefault="00110BB3">
      <w:pPr>
        <w:numPr>
          <w:ilvl w:val="0"/>
          <w:numId w:val="13"/>
        </w:numPr>
        <w:tabs>
          <w:tab w:val="left" w:pos="106"/>
        </w:tabs>
        <w:spacing w:line="0" w:lineRule="atLeast"/>
        <w:ind w:right="20" w:firstLine="5"/>
        <w:jc w:val="both"/>
        <w:rPr>
          <w:rFonts w:ascii="Garamond" w:eastAsia="Garamond" w:hAnsi="Garamond"/>
          <w:sz w:val="22"/>
        </w:rPr>
      </w:pPr>
      <w:r>
        <w:rPr>
          <w:rFonts w:ascii="Garamond" w:eastAsia="Garamond" w:hAnsi="Garamond"/>
          <w:i/>
          <w:sz w:val="22"/>
        </w:rPr>
        <w:t xml:space="preserve">type 1 </w:t>
      </w:r>
      <w:r>
        <w:rPr>
          <w:rFonts w:ascii="Garamond" w:eastAsia="Garamond" w:hAnsi="Garamond"/>
          <w:sz w:val="22"/>
        </w:rPr>
        <w:t>(déficit de sécrétion en insuline) : diabète dit “ juvénile ”. En cas de doute, on considère qu’il s’agit d’un</w:t>
      </w:r>
      <w:r>
        <w:rPr>
          <w:rFonts w:ascii="Garamond" w:eastAsia="Garamond" w:hAnsi="Garamond"/>
          <w:i/>
          <w:sz w:val="22"/>
        </w:rPr>
        <w:t xml:space="preserve"> </w:t>
      </w:r>
      <w:r>
        <w:rPr>
          <w:rFonts w:ascii="Garamond" w:eastAsia="Garamond" w:hAnsi="Garamond"/>
          <w:sz w:val="22"/>
        </w:rPr>
        <w:t>diabète de type 1 lorsque l’âge au diagnostic du diabète est inférieur à 45 ans et que le délai de mise en route d’un traitement par insuline est inférieur à 2 ans suivant le diagnostic.</w:t>
      </w:r>
    </w:p>
    <w:p w:rsidR="00110BB3" w:rsidRDefault="00110BB3">
      <w:pPr>
        <w:spacing w:line="1" w:lineRule="exact"/>
        <w:rPr>
          <w:rFonts w:ascii="Garamond" w:eastAsia="Garamond" w:hAnsi="Garamond"/>
          <w:sz w:val="22"/>
        </w:rPr>
      </w:pPr>
    </w:p>
    <w:p w:rsidR="00110BB3" w:rsidRDefault="00110BB3">
      <w:pPr>
        <w:spacing w:line="256" w:lineRule="auto"/>
        <w:jc w:val="both"/>
        <w:rPr>
          <w:rFonts w:ascii="Garamond" w:eastAsia="Garamond" w:hAnsi="Garamond"/>
          <w:sz w:val="22"/>
        </w:rPr>
      </w:pPr>
      <w:r>
        <w:rPr>
          <w:rFonts w:ascii="Garamond" w:eastAsia="Garamond" w:hAnsi="Garamond"/>
          <w:sz w:val="22"/>
        </w:rPr>
        <w:t>. type 2 (résistance à l’insuline) : diabète dit de la “ maturité ”, souvent associé à une surcharge pondérale et traité par hypoglycémiants oraux et/ou insuline. En cas de doute, on considère qu’il s’agit d’un diabète de type 2 lorsque l’âge au diagnostic du diabète est supérieur à 45 ans ou que le délai de mise en route d’un traitement</w:t>
      </w:r>
    </w:p>
    <w:p w:rsidR="00110BB3" w:rsidRDefault="00110BB3">
      <w:pPr>
        <w:spacing w:line="11" w:lineRule="exact"/>
        <w:rPr>
          <w:rFonts w:ascii="Times New Roman" w:eastAsia="Times New Roman" w:hAnsi="Times New Roman"/>
        </w:rPr>
      </w:pPr>
    </w:p>
    <w:p w:rsidR="00110BB3" w:rsidRDefault="00110BB3">
      <w:pPr>
        <w:spacing w:line="225" w:lineRule="auto"/>
        <w:rPr>
          <w:rFonts w:ascii="Garamond" w:eastAsia="Garamond" w:hAnsi="Garamond"/>
          <w:sz w:val="22"/>
        </w:rPr>
      </w:pPr>
      <w:r>
        <w:rPr>
          <w:rFonts w:ascii="Garamond" w:eastAsia="Garamond" w:hAnsi="Garamond"/>
          <w:sz w:val="22"/>
        </w:rPr>
        <w:t>par insuline est supérieur à 2 ans suivant le diagnostic. En cas de diabète cortico-induit, saisir diabète oui, type de diabète non déterminé en attendant qu’une variable autre soit créée. On peut également déclarer dans le</w:t>
      </w:r>
    </w:p>
    <w:p w:rsidR="00110BB3" w:rsidRDefault="00110BB3">
      <w:pPr>
        <w:spacing w:line="232" w:lineRule="auto"/>
        <w:rPr>
          <w:rFonts w:ascii="Garamond" w:eastAsia="Garamond" w:hAnsi="Garamond"/>
          <w:sz w:val="22"/>
        </w:rPr>
      </w:pPr>
      <w:r>
        <w:rPr>
          <w:rFonts w:ascii="Garamond" w:eastAsia="Garamond" w:hAnsi="Garamond"/>
          <w:sz w:val="22"/>
        </w:rPr>
        <w:t>champ « autre comorbidité » : Cim10-IV.E13.2 - Autres diabètes sucrés précisés, avec complications rénales.</w:t>
      </w:r>
    </w:p>
    <w:p w:rsidR="00110BB3" w:rsidRDefault="00110BB3">
      <w:pPr>
        <w:spacing w:line="2"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 cocher oui si le patient est traité par insuline.</w:t>
      </w:r>
    </w:p>
    <w:p w:rsidR="00110BB3" w:rsidRDefault="00110BB3">
      <w:pPr>
        <w:spacing w:line="266" w:lineRule="exact"/>
        <w:rPr>
          <w:rFonts w:ascii="Times New Roman" w:eastAsia="Times New Roman" w:hAnsi="Times New Roman"/>
        </w:rPr>
      </w:pPr>
    </w:p>
    <w:p w:rsidR="00110BB3" w:rsidRDefault="00110BB3">
      <w:pPr>
        <w:numPr>
          <w:ilvl w:val="0"/>
          <w:numId w:val="14"/>
        </w:numPr>
        <w:tabs>
          <w:tab w:val="left" w:pos="720"/>
        </w:tabs>
        <w:spacing w:line="0" w:lineRule="atLeast"/>
        <w:ind w:left="720" w:hanging="720"/>
        <w:rPr>
          <w:rFonts w:ascii="Courier New" w:eastAsia="Courier New" w:hAnsi="Courier New"/>
          <w:sz w:val="19"/>
        </w:rPr>
      </w:pPr>
      <w:r>
        <w:rPr>
          <w:rFonts w:ascii="Garamond" w:eastAsia="Garamond" w:hAnsi="Garamond"/>
          <w:i/>
          <w:sz w:val="22"/>
        </w:rPr>
        <w:t xml:space="preserve">HTA </w:t>
      </w:r>
      <w:r>
        <w:rPr>
          <w:rFonts w:ascii="Garamond" w:eastAsia="Garamond" w:hAnsi="Garamond"/>
          <w:sz w:val="22"/>
        </w:rPr>
        <w:t>:</w:t>
      </w:r>
      <w:r>
        <w:rPr>
          <w:rFonts w:ascii="Garamond" w:eastAsia="Garamond" w:hAnsi="Garamond"/>
          <w:i/>
          <w:sz w:val="22"/>
        </w:rPr>
        <w:t xml:space="preserve"> </w:t>
      </w:r>
      <w:r>
        <w:rPr>
          <w:rFonts w:ascii="Garamond" w:eastAsia="Garamond" w:hAnsi="Garamond"/>
          <w:color w:val="FF0000"/>
          <w:sz w:val="22"/>
        </w:rPr>
        <w:t>antécédent d’HTA ou de prise de traitement antihypertenseur, ou de diagnostic récent d’HTA</w:t>
      </w:r>
    </w:p>
    <w:p w:rsidR="00110BB3" w:rsidRDefault="00110BB3">
      <w:pPr>
        <w:spacing w:line="36" w:lineRule="exact"/>
        <w:rPr>
          <w:rFonts w:ascii="Courier New" w:eastAsia="Courier New" w:hAnsi="Courier New"/>
          <w:sz w:val="19"/>
        </w:rPr>
      </w:pPr>
    </w:p>
    <w:p w:rsidR="00110BB3" w:rsidRDefault="00110BB3">
      <w:pPr>
        <w:spacing w:line="231" w:lineRule="auto"/>
        <w:rPr>
          <w:rFonts w:ascii="Garamond" w:eastAsia="Garamond" w:hAnsi="Garamond"/>
          <w:color w:val="FF0000"/>
          <w:sz w:val="22"/>
        </w:rPr>
      </w:pPr>
      <w:r>
        <w:rPr>
          <w:rFonts w:ascii="Garamond" w:eastAsia="Garamond" w:hAnsi="Garamond"/>
          <w:color w:val="FF0000"/>
          <w:sz w:val="22"/>
        </w:rPr>
        <w:t>(</w:t>
      </w:r>
      <w:r>
        <w:rPr>
          <w:rFonts w:ascii="Garamond" w:eastAsia="Garamond" w:hAnsi="Garamond"/>
          <w:color w:val="000000"/>
          <w:sz w:val="22"/>
        </w:rPr>
        <w:t>pression artérielle supérieure à 140 et/ou 90 mm Hg)</w:t>
      </w:r>
      <w:r>
        <w:rPr>
          <w:rFonts w:ascii="Garamond" w:eastAsia="Garamond" w:hAnsi="Garamond"/>
          <w:color w:val="FF0000"/>
          <w:sz w:val="22"/>
        </w:rPr>
        <w:t xml:space="preserve"> ; que ce soit avant ou après la maladie, ou en dialyse.</w:t>
      </w:r>
    </w:p>
    <w:p w:rsidR="00110BB3" w:rsidRDefault="00110BB3">
      <w:pPr>
        <w:spacing w:line="231" w:lineRule="auto"/>
        <w:rPr>
          <w:rFonts w:ascii="Garamond" w:eastAsia="Garamond" w:hAnsi="Garamond"/>
          <w:color w:val="FF0000"/>
          <w:sz w:val="22"/>
        </w:rPr>
        <w:sectPr w:rsidR="00110BB3">
          <w:pgSz w:w="11900" w:h="16887"/>
          <w:pgMar w:top="1411" w:right="1279" w:bottom="0" w:left="1140" w:header="0" w:footer="0" w:gutter="0"/>
          <w:cols w:space="0" w:equalWidth="0">
            <w:col w:w="9480"/>
          </w:cols>
          <w:docGrid w:linePitch="360"/>
        </w:sectPr>
      </w:pPr>
    </w:p>
    <w:p w:rsidR="00110BB3" w:rsidRDefault="00110BB3">
      <w:pPr>
        <w:spacing w:line="217" w:lineRule="exact"/>
        <w:rPr>
          <w:rFonts w:ascii="Times New Roman" w:eastAsia="Times New Roman" w:hAnsi="Times New Roman"/>
        </w:rPr>
      </w:pPr>
      <w:bookmarkStart w:id="7" w:name="page8"/>
      <w:bookmarkEnd w:id="7"/>
    </w:p>
    <w:p w:rsidR="00110BB3" w:rsidRDefault="00110BB3">
      <w:pPr>
        <w:numPr>
          <w:ilvl w:val="0"/>
          <w:numId w:val="15"/>
        </w:numPr>
        <w:tabs>
          <w:tab w:val="left" w:pos="720"/>
        </w:tabs>
        <w:spacing w:line="270" w:lineRule="auto"/>
        <w:ind w:right="220"/>
        <w:rPr>
          <w:rFonts w:ascii="Courier New" w:eastAsia="Courier New" w:hAnsi="Courier New"/>
          <w:sz w:val="19"/>
        </w:rPr>
      </w:pPr>
      <w:r>
        <w:rPr>
          <w:rFonts w:ascii="Garamond" w:eastAsia="Garamond" w:hAnsi="Garamond"/>
          <w:i/>
          <w:sz w:val="22"/>
        </w:rPr>
        <w:t xml:space="preserve">Insuffisance coronarienne </w:t>
      </w:r>
      <w:r>
        <w:rPr>
          <w:rFonts w:ascii="Garamond" w:eastAsia="Garamond" w:hAnsi="Garamond"/>
          <w:sz w:val="22"/>
        </w:rPr>
        <w:t>définie par un antécédent d’angioplastie ou de pontage, ou une</w:t>
      </w:r>
      <w:r>
        <w:rPr>
          <w:rFonts w:ascii="Garamond" w:eastAsia="Garamond" w:hAnsi="Garamond"/>
          <w:i/>
          <w:sz w:val="22"/>
        </w:rPr>
        <w:t xml:space="preserve"> </w:t>
      </w:r>
      <w:r>
        <w:rPr>
          <w:rFonts w:ascii="Garamond" w:eastAsia="Garamond" w:hAnsi="Garamond"/>
          <w:sz w:val="22"/>
        </w:rPr>
        <w:t>coronaropathie</w:t>
      </w:r>
      <w:r>
        <w:rPr>
          <w:rFonts w:ascii="Garamond" w:eastAsia="Garamond" w:hAnsi="Garamond"/>
          <w:i/>
          <w:sz w:val="22"/>
        </w:rPr>
        <w:t xml:space="preserve"> </w:t>
      </w:r>
      <w:r>
        <w:rPr>
          <w:rFonts w:ascii="Garamond" w:eastAsia="Garamond" w:hAnsi="Garamond"/>
          <w:sz w:val="22"/>
        </w:rPr>
        <w:t>documentée par un ECG d’effort, une coronarographie ou une scintigraphie au thallium.</w:t>
      </w:r>
    </w:p>
    <w:p w:rsidR="00110BB3" w:rsidRDefault="00110BB3">
      <w:pPr>
        <w:spacing w:line="177" w:lineRule="exact"/>
        <w:rPr>
          <w:rFonts w:ascii="Courier New" w:eastAsia="Courier New" w:hAnsi="Courier New"/>
          <w:sz w:val="19"/>
        </w:rPr>
      </w:pPr>
    </w:p>
    <w:p w:rsidR="00110BB3" w:rsidRDefault="00110BB3">
      <w:pPr>
        <w:numPr>
          <w:ilvl w:val="0"/>
          <w:numId w:val="15"/>
        </w:numPr>
        <w:tabs>
          <w:tab w:val="left" w:pos="720"/>
        </w:tabs>
        <w:spacing w:line="272" w:lineRule="auto"/>
        <w:ind w:right="780"/>
        <w:rPr>
          <w:rFonts w:ascii="Courier New" w:eastAsia="Courier New" w:hAnsi="Courier New"/>
          <w:sz w:val="19"/>
        </w:rPr>
      </w:pPr>
      <w:r>
        <w:rPr>
          <w:rFonts w:ascii="Garamond" w:eastAsia="Garamond" w:hAnsi="Garamond"/>
          <w:i/>
          <w:sz w:val="22"/>
        </w:rPr>
        <w:t xml:space="preserve">Infarctus du myocarde : </w:t>
      </w:r>
      <w:r>
        <w:rPr>
          <w:rFonts w:ascii="Garamond" w:eastAsia="Garamond" w:hAnsi="Garamond"/>
          <w:sz w:val="22"/>
        </w:rPr>
        <w:t>antécédent</w:t>
      </w:r>
      <w:r>
        <w:rPr>
          <w:rFonts w:ascii="Garamond" w:eastAsia="Garamond" w:hAnsi="Garamond"/>
          <w:i/>
          <w:sz w:val="22"/>
        </w:rPr>
        <w:t xml:space="preserve"> </w:t>
      </w:r>
      <w:r>
        <w:rPr>
          <w:rFonts w:ascii="Garamond" w:eastAsia="Garamond" w:hAnsi="Garamond"/>
          <w:sz w:val="22"/>
        </w:rPr>
        <w:t>ou épisode récent d’infarctus du myocarde documenté (ECG,</w:t>
      </w:r>
      <w:r>
        <w:rPr>
          <w:rFonts w:ascii="Garamond" w:eastAsia="Garamond" w:hAnsi="Garamond"/>
          <w:i/>
          <w:sz w:val="22"/>
        </w:rPr>
        <w:t xml:space="preserve"> </w:t>
      </w:r>
      <w:r>
        <w:rPr>
          <w:rFonts w:ascii="Garamond" w:eastAsia="Garamond" w:hAnsi="Garamond"/>
          <w:sz w:val="22"/>
        </w:rPr>
        <w:t>scintigraphie au thallium, échographie, coronarographie etc…).</w:t>
      </w:r>
    </w:p>
    <w:p w:rsidR="00110BB3" w:rsidRDefault="00110BB3">
      <w:pPr>
        <w:spacing w:line="199" w:lineRule="exact"/>
        <w:rPr>
          <w:rFonts w:ascii="Courier New" w:eastAsia="Courier New" w:hAnsi="Courier New"/>
          <w:sz w:val="19"/>
        </w:rPr>
      </w:pPr>
    </w:p>
    <w:p w:rsidR="00110BB3" w:rsidRDefault="00110BB3">
      <w:pPr>
        <w:numPr>
          <w:ilvl w:val="0"/>
          <w:numId w:val="15"/>
        </w:numPr>
        <w:tabs>
          <w:tab w:val="left" w:pos="720"/>
        </w:tabs>
        <w:spacing w:line="0" w:lineRule="atLeast"/>
        <w:ind w:left="720" w:hanging="720"/>
        <w:rPr>
          <w:rFonts w:ascii="Courier New" w:eastAsia="Courier New" w:hAnsi="Courier New"/>
          <w:color w:val="FF0000"/>
          <w:sz w:val="19"/>
        </w:rPr>
      </w:pPr>
      <w:r>
        <w:rPr>
          <w:rFonts w:ascii="Garamond" w:eastAsia="Garamond" w:hAnsi="Garamond"/>
          <w:i/>
          <w:color w:val="FF0000"/>
          <w:sz w:val="22"/>
        </w:rPr>
        <w:t xml:space="preserve">Péricardite urémique </w:t>
      </w:r>
      <w:r>
        <w:rPr>
          <w:rFonts w:ascii="Garamond" w:eastAsia="Garamond" w:hAnsi="Garamond"/>
          <w:color w:val="FF0000"/>
          <w:sz w:val="22"/>
        </w:rPr>
        <w:t>: antécédent ou épisode récent de péricardite documenté (échocardiographie).</w:t>
      </w:r>
    </w:p>
    <w:p w:rsidR="00110BB3" w:rsidRDefault="00110BB3">
      <w:pPr>
        <w:spacing w:line="275" w:lineRule="exact"/>
        <w:rPr>
          <w:rFonts w:ascii="Courier New" w:eastAsia="Courier New" w:hAnsi="Courier New"/>
          <w:color w:val="FF0000"/>
          <w:sz w:val="19"/>
        </w:rPr>
      </w:pPr>
    </w:p>
    <w:p w:rsidR="00110BB3" w:rsidRDefault="00110BB3">
      <w:pPr>
        <w:numPr>
          <w:ilvl w:val="0"/>
          <w:numId w:val="15"/>
        </w:numPr>
        <w:tabs>
          <w:tab w:val="left" w:pos="720"/>
        </w:tabs>
        <w:spacing w:line="224" w:lineRule="auto"/>
        <w:ind w:right="300"/>
        <w:rPr>
          <w:rFonts w:ascii="Courier New" w:eastAsia="Courier New" w:hAnsi="Courier New"/>
          <w:sz w:val="19"/>
        </w:rPr>
      </w:pPr>
      <w:r>
        <w:rPr>
          <w:rFonts w:ascii="Garamond" w:eastAsia="Garamond" w:hAnsi="Garamond"/>
          <w:i/>
          <w:sz w:val="22"/>
        </w:rPr>
        <w:t xml:space="preserve">Troubles du rythme ou de la conduction cardiaque : </w:t>
      </w:r>
      <w:r>
        <w:rPr>
          <w:rFonts w:ascii="Garamond" w:eastAsia="Garamond" w:hAnsi="Garamond"/>
          <w:sz w:val="22"/>
        </w:rPr>
        <w:t>à cocher en cas de traitement spécifique avec un ou des</w:t>
      </w:r>
      <w:r>
        <w:rPr>
          <w:rFonts w:ascii="Garamond" w:eastAsia="Garamond" w:hAnsi="Garamond"/>
          <w:i/>
          <w:sz w:val="22"/>
        </w:rPr>
        <w:t xml:space="preserve"> </w:t>
      </w:r>
      <w:r>
        <w:rPr>
          <w:rFonts w:ascii="Garamond" w:eastAsia="Garamond" w:hAnsi="Garamond"/>
          <w:sz w:val="22"/>
        </w:rPr>
        <w:t>anti-arythmiques ou la présence d’un pacemaker ou d’un défibrillateur implantable.</w:t>
      </w:r>
    </w:p>
    <w:p w:rsidR="00110BB3" w:rsidRDefault="00110BB3">
      <w:pPr>
        <w:spacing w:line="272" w:lineRule="exact"/>
        <w:rPr>
          <w:rFonts w:ascii="Courier New" w:eastAsia="Courier New" w:hAnsi="Courier New"/>
          <w:sz w:val="19"/>
        </w:rPr>
      </w:pPr>
    </w:p>
    <w:p w:rsidR="00110BB3" w:rsidRDefault="00110BB3">
      <w:pPr>
        <w:numPr>
          <w:ilvl w:val="0"/>
          <w:numId w:val="15"/>
        </w:numPr>
        <w:tabs>
          <w:tab w:val="left" w:pos="720"/>
        </w:tabs>
        <w:spacing w:line="227" w:lineRule="auto"/>
        <w:ind w:right="20"/>
        <w:jc w:val="both"/>
        <w:rPr>
          <w:rFonts w:ascii="Courier New" w:eastAsia="Courier New" w:hAnsi="Courier New"/>
          <w:sz w:val="19"/>
        </w:rPr>
      </w:pPr>
      <w:r>
        <w:rPr>
          <w:rFonts w:ascii="Garamond" w:eastAsia="Garamond" w:hAnsi="Garamond"/>
          <w:i/>
          <w:sz w:val="22"/>
        </w:rPr>
        <w:t xml:space="preserve">Insuffisance cardiaque </w:t>
      </w:r>
      <w:r>
        <w:rPr>
          <w:rFonts w:ascii="Garamond" w:eastAsia="Garamond" w:hAnsi="Garamond"/>
          <w:sz w:val="22"/>
        </w:rPr>
        <w:t>: cocher si le patient a une insuffisance cardiaque, stade I à II (aucune limitation de</w:t>
      </w:r>
      <w:r>
        <w:rPr>
          <w:rFonts w:ascii="Garamond" w:eastAsia="Garamond" w:hAnsi="Garamond"/>
          <w:i/>
          <w:sz w:val="22"/>
        </w:rPr>
        <w:t xml:space="preserve"> </w:t>
      </w:r>
      <w:r>
        <w:rPr>
          <w:rFonts w:ascii="Garamond" w:eastAsia="Garamond" w:hAnsi="Garamond"/>
          <w:sz w:val="22"/>
        </w:rPr>
        <w:t>l'activité physique ou symptômes à l'occasion des efforts les plus intenses de l'activité quotidienne) ou stade III à IV (limitation importante de l'activité physique ou symptômes survenant pour des efforts légers ou</w:t>
      </w:r>
    </w:p>
    <w:p w:rsidR="00110BB3" w:rsidRDefault="00110BB3">
      <w:pPr>
        <w:spacing w:line="37" w:lineRule="exact"/>
        <w:rPr>
          <w:rFonts w:ascii="Times New Roman" w:eastAsia="Times New Roman" w:hAnsi="Times New Roman"/>
        </w:rPr>
      </w:pPr>
    </w:p>
    <w:p w:rsidR="00110BB3" w:rsidRDefault="00110BB3">
      <w:pPr>
        <w:spacing w:line="218" w:lineRule="auto"/>
        <w:ind w:right="20"/>
        <w:jc w:val="both"/>
        <w:rPr>
          <w:rFonts w:ascii="Garamond" w:eastAsia="Garamond" w:hAnsi="Garamond"/>
          <w:sz w:val="22"/>
        </w:rPr>
      </w:pPr>
      <w:r>
        <w:rPr>
          <w:rFonts w:ascii="Garamond" w:eastAsia="Garamond" w:hAnsi="Garamond"/>
          <w:sz w:val="22"/>
        </w:rPr>
        <w:t>symptômes au repos) de la classification de la New York Heart Association. Les patients ayant présenté des poussées d’œdème aigu du poumon avant la mise en dialyse, doivent être considérés comme des stades I-II, même si ces épisodes ont été complètement résolutifs et n’ont pas récidivé depuis, sauf si l’échographie</w:t>
      </w:r>
    </w:p>
    <w:p w:rsidR="00110BB3" w:rsidRDefault="00110BB3">
      <w:pPr>
        <w:spacing w:line="0" w:lineRule="atLeast"/>
        <w:rPr>
          <w:rFonts w:ascii="Garamond" w:eastAsia="Garamond" w:hAnsi="Garamond"/>
          <w:sz w:val="22"/>
        </w:rPr>
      </w:pPr>
      <w:r>
        <w:rPr>
          <w:rFonts w:ascii="Garamond" w:eastAsia="Garamond" w:hAnsi="Garamond"/>
          <w:sz w:val="22"/>
        </w:rPr>
        <w:t xml:space="preserve">cardiaque est normale. </w:t>
      </w:r>
      <w:r>
        <w:rPr>
          <w:rFonts w:ascii="Garamond" w:eastAsia="Garamond" w:hAnsi="Garamond"/>
          <w:b/>
          <w:i/>
          <w:sz w:val="22"/>
        </w:rPr>
        <w:t>Si le patient a été greffé d’un cœur, même sans</w:t>
      </w:r>
      <w:r>
        <w:rPr>
          <w:rFonts w:ascii="Garamond" w:eastAsia="Garamond" w:hAnsi="Garamond"/>
          <w:sz w:val="22"/>
        </w:rPr>
        <w:t xml:space="preserve"> </w:t>
      </w:r>
      <w:r>
        <w:rPr>
          <w:rFonts w:ascii="Garamond" w:eastAsia="Garamond" w:hAnsi="Garamond"/>
          <w:i/>
          <w:sz w:val="22"/>
        </w:rPr>
        <w:t>symptôme, il doit être considéré comme stade III</w:t>
      </w:r>
      <w:r>
        <w:rPr>
          <w:rFonts w:ascii="Garamond" w:eastAsia="Garamond" w:hAnsi="Garamond"/>
          <w:sz w:val="22"/>
        </w:rPr>
        <w:t>-IV.</w:t>
      </w:r>
    </w:p>
    <w:p w:rsidR="00110BB3" w:rsidRDefault="00110BB3">
      <w:pPr>
        <w:spacing w:line="243" w:lineRule="exact"/>
        <w:rPr>
          <w:rFonts w:ascii="Times New Roman" w:eastAsia="Times New Roman" w:hAnsi="Times New Roman"/>
        </w:rPr>
      </w:pPr>
    </w:p>
    <w:p w:rsidR="00110BB3" w:rsidRDefault="00110BB3">
      <w:pPr>
        <w:numPr>
          <w:ilvl w:val="0"/>
          <w:numId w:val="16"/>
        </w:numPr>
        <w:tabs>
          <w:tab w:val="left" w:pos="720"/>
        </w:tabs>
        <w:spacing w:line="262" w:lineRule="auto"/>
        <w:ind w:right="160"/>
        <w:rPr>
          <w:rFonts w:ascii="Courier New" w:eastAsia="Courier New" w:hAnsi="Courier New"/>
          <w:sz w:val="19"/>
        </w:rPr>
      </w:pPr>
      <w:r>
        <w:rPr>
          <w:rFonts w:ascii="Garamond" w:eastAsia="Garamond" w:hAnsi="Garamond"/>
          <w:i/>
          <w:sz w:val="22"/>
        </w:rPr>
        <w:t xml:space="preserve">Accident vasculaire cérébral </w:t>
      </w:r>
      <w:r>
        <w:rPr>
          <w:rFonts w:ascii="Garamond" w:eastAsia="Garamond" w:hAnsi="Garamond"/>
          <w:sz w:val="22"/>
        </w:rPr>
        <w:t>(AVC)</w:t>
      </w:r>
      <w:r>
        <w:rPr>
          <w:rFonts w:ascii="Garamond" w:eastAsia="Garamond" w:hAnsi="Garamond"/>
          <w:i/>
          <w:sz w:val="22"/>
        </w:rPr>
        <w:t xml:space="preserve"> </w:t>
      </w:r>
      <w:r>
        <w:rPr>
          <w:rFonts w:ascii="Garamond" w:eastAsia="Garamond" w:hAnsi="Garamond"/>
          <w:sz w:val="22"/>
        </w:rPr>
        <w:t>: tout antécédent d’AVC documenté</w:t>
      </w:r>
      <w:r>
        <w:rPr>
          <w:rFonts w:ascii="Garamond" w:eastAsia="Garamond" w:hAnsi="Garamond"/>
          <w:i/>
          <w:sz w:val="22"/>
        </w:rPr>
        <w:t xml:space="preserve"> </w:t>
      </w:r>
      <w:r>
        <w:rPr>
          <w:rFonts w:ascii="Garamond" w:eastAsia="Garamond" w:hAnsi="Garamond"/>
          <w:color w:val="FF0000"/>
          <w:sz w:val="22"/>
        </w:rPr>
        <w:t>« ischémique ou hémorragique »</w:t>
      </w:r>
      <w:r>
        <w:rPr>
          <w:rFonts w:ascii="Garamond" w:eastAsia="Garamond" w:hAnsi="Garamond"/>
          <w:sz w:val="22"/>
        </w:rPr>
        <w:t>,</w:t>
      </w:r>
      <w:r>
        <w:rPr>
          <w:rFonts w:ascii="Garamond" w:eastAsia="Garamond" w:hAnsi="Garamond"/>
          <w:i/>
          <w:sz w:val="22"/>
        </w:rPr>
        <w:t xml:space="preserve"> </w:t>
      </w:r>
      <w:r>
        <w:rPr>
          <w:rFonts w:ascii="Garamond" w:eastAsia="Garamond" w:hAnsi="Garamond"/>
          <w:sz w:val="22"/>
        </w:rPr>
        <w:t>avec ou sans séquelles résiduelles.</w:t>
      </w:r>
    </w:p>
    <w:p w:rsidR="00110BB3" w:rsidRDefault="00110BB3">
      <w:pPr>
        <w:spacing w:line="258" w:lineRule="exact"/>
        <w:rPr>
          <w:rFonts w:ascii="Courier New" w:eastAsia="Courier New" w:hAnsi="Courier New"/>
          <w:sz w:val="19"/>
        </w:rPr>
      </w:pPr>
    </w:p>
    <w:p w:rsidR="00110BB3" w:rsidRDefault="00110BB3">
      <w:pPr>
        <w:numPr>
          <w:ilvl w:val="0"/>
          <w:numId w:val="16"/>
        </w:numPr>
        <w:tabs>
          <w:tab w:val="left" w:pos="720"/>
        </w:tabs>
        <w:spacing w:line="225" w:lineRule="auto"/>
        <w:jc w:val="both"/>
        <w:rPr>
          <w:rFonts w:ascii="Courier New" w:eastAsia="Courier New" w:hAnsi="Courier New"/>
          <w:sz w:val="19"/>
        </w:rPr>
      </w:pPr>
      <w:r>
        <w:rPr>
          <w:rFonts w:ascii="Garamond" w:eastAsia="Garamond" w:hAnsi="Garamond"/>
          <w:i/>
          <w:sz w:val="22"/>
        </w:rPr>
        <w:t xml:space="preserve">Artérite des membres inférieurs </w:t>
      </w:r>
      <w:r>
        <w:rPr>
          <w:rFonts w:ascii="Garamond" w:eastAsia="Garamond" w:hAnsi="Garamond"/>
          <w:sz w:val="22"/>
        </w:rPr>
        <w:t>: cocher si le patient a une AMI au stade I à II (définie par une claudication</w:t>
      </w:r>
      <w:r>
        <w:rPr>
          <w:rFonts w:ascii="Garamond" w:eastAsia="Garamond" w:hAnsi="Garamond"/>
          <w:i/>
          <w:sz w:val="22"/>
        </w:rPr>
        <w:t xml:space="preserve"> </w:t>
      </w:r>
      <w:r>
        <w:rPr>
          <w:rFonts w:ascii="Garamond" w:eastAsia="Garamond" w:hAnsi="Garamond"/>
          <w:sz w:val="22"/>
        </w:rPr>
        <w:t>intermittente ou une abolition des pouls ou un antécédent d’angioplastie, de pontage) ou une AMI au stade III</w:t>
      </w:r>
    </w:p>
    <w:p w:rsidR="00110BB3" w:rsidRDefault="00110BB3">
      <w:pPr>
        <w:spacing w:line="25" w:lineRule="exact"/>
        <w:rPr>
          <w:rFonts w:ascii="Courier New" w:eastAsia="Courier New" w:hAnsi="Courier New"/>
          <w:sz w:val="19"/>
        </w:rPr>
      </w:pPr>
    </w:p>
    <w:p w:rsidR="00110BB3" w:rsidRDefault="00110BB3">
      <w:pPr>
        <w:spacing w:line="221" w:lineRule="auto"/>
        <w:rPr>
          <w:rFonts w:ascii="Garamond" w:eastAsia="Garamond" w:hAnsi="Garamond"/>
          <w:sz w:val="22"/>
        </w:rPr>
      </w:pPr>
      <w:r>
        <w:rPr>
          <w:rFonts w:ascii="Garamond" w:eastAsia="Garamond" w:hAnsi="Garamond"/>
          <w:sz w:val="22"/>
        </w:rPr>
        <w:t>à IV (douleurs de décubitus, troubles trophiques ou amputation au niveau des membres inférieurs) de la classification de Leriche.</w:t>
      </w:r>
    </w:p>
    <w:p w:rsidR="00110BB3" w:rsidRDefault="00110BB3">
      <w:pPr>
        <w:spacing w:line="214" w:lineRule="exact"/>
        <w:rPr>
          <w:rFonts w:ascii="Courier New" w:eastAsia="Courier New" w:hAnsi="Courier New"/>
          <w:sz w:val="19"/>
        </w:rPr>
      </w:pPr>
    </w:p>
    <w:p w:rsidR="00110BB3" w:rsidRDefault="00110BB3">
      <w:pPr>
        <w:numPr>
          <w:ilvl w:val="0"/>
          <w:numId w:val="16"/>
        </w:numPr>
        <w:tabs>
          <w:tab w:val="left" w:pos="720"/>
        </w:tabs>
        <w:spacing w:line="253" w:lineRule="auto"/>
        <w:ind w:right="20"/>
        <w:jc w:val="both"/>
        <w:rPr>
          <w:rFonts w:ascii="Courier New" w:eastAsia="Courier New" w:hAnsi="Courier New"/>
          <w:sz w:val="19"/>
        </w:rPr>
      </w:pPr>
      <w:r>
        <w:rPr>
          <w:rFonts w:ascii="Garamond" w:eastAsia="Garamond" w:hAnsi="Garamond"/>
          <w:i/>
          <w:sz w:val="22"/>
        </w:rPr>
        <w:t xml:space="preserve">AgHBS positif : </w:t>
      </w:r>
      <w:r>
        <w:rPr>
          <w:rFonts w:ascii="Garamond" w:eastAsia="Garamond" w:hAnsi="Garamond"/>
          <w:sz w:val="22"/>
        </w:rPr>
        <w:t>indiquer tous les patients porteurs sains de l’antigène ou présentant des stigmates</w:t>
      </w:r>
      <w:r>
        <w:rPr>
          <w:rFonts w:ascii="Garamond" w:eastAsia="Garamond" w:hAnsi="Garamond"/>
          <w:i/>
          <w:sz w:val="22"/>
        </w:rPr>
        <w:t xml:space="preserve"> </w:t>
      </w:r>
      <w:r>
        <w:rPr>
          <w:rFonts w:ascii="Garamond" w:eastAsia="Garamond" w:hAnsi="Garamond"/>
          <w:sz w:val="22"/>
        </w:rPr>
        <w:t>cliniques (hépatite virale, cirrhose…) du virus VHB. Cas particulier : cocher AgHBs positif si l’HBV DNA est positif malgré l’absence d’AgHBs.</w:t>
      </w:r>
    </w:p>
    <w:p w:rsidR="00110BB3" w:rsidRDefault="00110BB3">
      <w:pPr>
        <w:spacing w:line="260" w:lineRule="exact"/>
        <w:rPr>
          <w:rFonts w:ascii="Courier New" w:eastAsia="Courier New" w:hAnsi="Courier New"/>
          <w:sz w:val="19"/>
        </w:rPr>
      </w:pPr>
    </w:p>
    <w:p w:rsidR="00110BB3" w:rsidRDefault="00110BB3">
      <w:pPr>
        <w:numPr>
          <w:ilvl w:val="0"/>
          <w:numId w:val="16"/>
        </w:numPr>
        <w:tabs>
          <w:tab w:val="left" w:pos="720"/>
        </w:tabs>
        <w:spacing w:line="229" w:lineRule="auto"/>
        <w:jc w:val="both"/>
        <w:rPr>
          <w:rFonts w:ascii="Courier New" w:eastAsia="Courier New" w:hAnsi="Courier New"/>
          <w:sz w:val="19"/>
        </w:rPr>
      </w:pPr>
      <w:r>
        <w:rPr>
          <w:rFonts w:ascii="Garamond" w:eastAsia="Garamond" w:hAnsi="Garamond"/>
          <w:i/>
          <w:sz w:val="22"/>
        </w:rPr>
        <w:t xml:space="preserve">PCR VHC positif </w:t>
      </w:r>
      <w:r>
        <w:rPr>
          <w:rFonts w:ascii="Garamond" w:eastAsia="Garamond" w:hAnsi="Garamond"/>
          <w:sz w:val="22"/>
        </w:rPr>
        <w:t>: indiquer tous les patients porteurs sains (avec virémie active) ou présentant des</w:t>
      </w:r>
      <w:r>
        <w:rPr>
          <w:rFonts w:ascii="Garamond" w:eastAsia="Garamond" w:hAnsi="Garamond"/>
          <w:i/>
          <w:sz w:val="22"/>
        </w:rPr>
        <w:t xml:space="preserve"> </w:t>
      </w:r>
      <w:r>
        <w:rPr>
          <w:rFonts w:ascii="Garamond" w:eastAsia="Garamond" w:hAnsi="Garamond"/>
          <w:sz w:val="22"/>
        </w:rPr>
        <w:t>stigmates cliniques (hépatite virale, cirrhose…) du virus VHC. La présence d’anticorps seule n’est pas à inclure (AC VHC+ mais PCR-VHC -). Si la recherche de PCR n’a pas été faite car patients VHC-, coder Non.</w:t>
      </w:r>
    </w:p>
    <w:p w:rsidR="00110BB3" w:rsidRDefault="00110BB3">
      <w:pPr>
        <w:spacing w:line="211" w:lineRule="exact"/>
        <w:rPr>
          <w:rFonts w:ascii="Courier New" w:eastAsia="Courier New" w:hAnsi="Courier New"/>
          <w:sz w:val="19"/>
        </w:rPr>
      </w:pPr>
    </w:p>
    <w:p w:rsidR="00110BB3" w:rsidRDefault="00110BB3">
      <w:pPr>
        <w:numPr>
          <w:ilvl w:val="0"/>
          <w:numId w:val="16"/>
        </w:numPr>
        <w:tabs>
          <w:tab w:val="left" w:pos="720"/>
        </w:tabs>
        <w:spacing w:line="0" w:lineRule="atLeast"/>
        <w:ind w:left="720" w:hanging="720"/>
        <w:rPr>
          <w:rFonts w:ascii="Courier New" w:eastAsia="Courier New" w:hAnsi="Courier New"/>
          <w:sz w:val="19"/>
        </w:rPr>
      </w:pPr>
      <w:r>
        <w:rPr>
          <w:rFonts w:ascii="Garamond" w:eastAsia="Garamond" w:hAnsi="Garamond"/>
          <w:i/>
          <w:sz w:val="22"/>
        </w:rPr>
        <w:t xml:space="preserve">Cirrhose </w:t>
      </w:r>
      <w:r>
        <w:rPr>
          <w:rFonts w:ascii="Garamond" w:eastAsia="Garamond" w:hAnsi="Garamond"/>
          <w:sz w:val="22"/>
        </w:rPr>
        <w:t>: cocher si le patient a une hépatopathie chronique au stade de cirrhose.</w:t>
      </w:r>
    </w:p>
    <w:p w:rsidR="00110BB3" w:rsidRDefault="00110BB3">
      <w:pPr>
        <w:spacing w:line="267" w:lineRule="auto"/>
        <w:ind w:right="180"/>
        <w:rPr>
          <w:rFonts w:ascii="Garamond" w:eastAsia="Garamond" w:hAnsi="Garamond"/>
          <w:sz w:val="22"/>
        </w:rPr>
      </w:pPr>
      <w:r>
        <w:rPr>
          <w:rFonts w:ascii="Garamond" w:eastAsia="Garamond" w:hAnsi="Garamond"/>
          <w:sz w:val="22"/>
        </w:rPr>
        <w:t>En cas de cirrhose d’origine virale, revenir à la ligne précédente pour cocher les items correspondant au VHB ou au VHC.</w:t>
      </w:r>
    </w:p>
    <w:p w:rsidR="00110BB3" w:rsidRDefault="00110BB3">
      <w:pPr>
        <w:spacing w:line="217" w:lineRule="exact"/>
        <w:rPr>
          <w:rFonts w:ascii="Times New Roman" w:eastAsia="Times New Roman" w:hAnsi="Times New Roman"/>
        </w:rPr>
      </w:pPr>
    </w:p>
    <w:p w:rsidR="00110BB3" w:rsidRDefault="00110BB3">
      <w:pPr>
        <w:numPr>
          <w:ilvl w:val="0"/>
          <w:numId w:val="17"/>
        </w:numPr>
        <w:tabs>
          <w:tab w:val="left" w:pos="720"/>
        </w:tabs>
        <w:spacing w:line="0" w:lineRule="atLeast"/>
        <w:ind w:left="720" w:hanging="720"/>
        <w:rPr>
          <w:rFonts w:ascii="Courier New" w:eastAsia="Courier New" w:hAnsi="Courier New"/>
          <w:sz w:val="19"/>
        </w:rPr>
      </w:pPr>
      <w:r>
        <w:rPr>
          <w:rFonts w:ascii="Garamond" w:eastAsia="Garamond" w:hAnsi="Garamond"/>
          <w:i/>
          <w:sz w:val="22"/>
        </w:rPr>
        <w:t xml:space="preserve">Séropositivité VIH </w:t>
      </w:r>
      <w:r>
        <w:rPr>
          <w:rFonts w:ascii="Garamond" w:eastAsia="Garamond" w:hAnsi="Garamond"/>
          <w:sz w:val="22"/>
        </w:rPr>
        <w:t>: cocher la case correspondante.</w:t>
      </w:r>
    </w:p>
    <w:p w:rsidR="00110BB3" w:rsidRDefault="00110BB3">
      <w:pPr>
        <w:spacing w:line="280" w:lineRule="exact"/>
        <w:rPr>
          <w:rFonts w:ascii="Courier New" w:eastAsia="Courier New" w:hAnsi="Courier New"/>
          <w:sz w:val="19"/>
        </w:rPr>
      </w:pPr>
    </w:p>
    <w:p w:rsidR="00110BB3" w:rsidRDefault="00110BB3">
      <w:pPr>
        <w:numPr>
          <w:ilvl w:val="0"/>
          <w:numId w:val="17"/>
        </w:numPr>
        <w:tabs>
          <w:tab w:val="left" w:pos="720"/>
        </w:tabs>
        <w:spacing w:line="227" w:lineRule="auto"/>
        <w:jc w:val="both"/>
        <w:rPr>
          <w:rFonts w:ascii="Courier New" w:eastAsia="Courier New" w:hAnsi="Courier New"/>
          <w:sz w:val="19"/>
        </w:rPr>
      </w:pPr>
      <w:r>
        <w:rPr>
          <w:rFonts w:ascii="Garamond" w:eastAsia="Garamond" w:hAnsi="Garamond"/>
          <w:i/>
          <w:sz w:val="22"/>
        </w:rPr>
        <w:t xml:space="preserve">Insuffisance respiratoire chronique ou BPCO </w:t>
      </w:r>
      <w:r>
        <w:rPr>
          <w:rFonts w:ascii="Garamond" w:eastAsia="Garamond" w:hAnsi="Garamond"/>
          <w:sz w:val="22"/>
        </w:rPr>
        <w:t>(bronchopneumopathie chronique obstructive) : par</w:t>
      </w:r>
      <w:r>
        <w:rPr>
          <w:rFonts w:ascii="Garamond" w:eastAsia="Garamond" w:hAnsi="Garamond"/>
          <w:i/>
          <w:sz w:val="22"/>
        </w:rPr>
        <w:t xml:space="preserve"> </w:t>
      </w:r>
      <w:r>
        <w:rPr>
          <w:rFonts w:ascii="Garamond" w:eastAsia="Garamond" w:hAnsi="Garamond"/>
          <w:sz w:val="22"/>
        </w:rPr>
        <w:t>convention, on parle d'IRC lorsqu'en état stable la PaO2 est &lt; à 60 mmHg quel que soit le niveau de la capnie ; l'état stable suppose un pH normal (7,37-7,43). La BPCO est définie par une toux avec expectoration</w:t>
      </w:r>
    </w:p>
    <w:p w:rsidR="00110BB3" w:rsidRDefault="00110BB3">
      <w:pPr>
        <w:spacing w:line="35" w:lineRule="exact"/>
        <w:rPr>
          <w:rFonts w:ascii="Times New Roman" w:eastAsia="Times New Roman" w:hAnsi="Times New Roman"/>
        </w:rPr>
      </w:pPr>
    </w:p>
    <w:p w:rsidR="00110BB3" w:rsidRDefault="00110BB3">
      <w:pPr>
        <w:spacing w:line="225" w:lineRule="auto"/>
        <w:rPr>
          <w:rFonts w:ascii="Garamond" w:eastAsia="Garamond" w:hAnsi="Garamond"/>
          <w:sz w:val="22"/>
        </w:rPr>
      </w:pPr>
      <w:r>
        <w:rPr>
          <w:rFonts w:ascii="Garamond" w:eastAsia="Garamond" w:hAnsi="Garamond"/>
          <w:sz w:val="22"/>
        </w:rPr>
        <w:t>permanente ou récidivante surtout matinale, 3 mois/an pendant 2 années consécutives. En pratique, ce qui est recherché est une pathologie respiratoire nécessitant un traitement spécifique ou responsable d’hospitalisations</w:t>
      </w:r>
    </w:p>
    <w:p w:rsidR="00110BB3" w:rsidRDefault="00110BB3">
      <w:pPr>
        <w:spacing w:line="232" w:lineRule="auto"/>
        <w:rPr>
          <w:rFonts w:ascii="Garamond" w:eastAsia="Garamond" w:hAnsi="Garamond"/>
          <w:sz w:val="22"/>
        </w:rPr>
      </w:pPr>
      <w:r>
        <w:rPr>
          <w:rFonts w:ascii="Garamond" w:eastAsia="Garamond" w:hAnsi="Garamond"/>
          <w:sz w:val="22"/>
        </w:rPr>
        <w:t>à répétition.</w:t>
      </w:r>
    </w:p>
    <w:p w:rsidR="00110BB3" w:rsidRDefault="00110BB3">
      <w:pPr>
        <w:spacing w:line="281" w:lineRule="exact"/>
        <w:rPr>
          <w:rFonts w:ascii="Times New Roman" w:eastAsia="Times New Roman" w:hAnsi="Times New Roman"/>
        </w:rPr>
      </w:pPr>
    </w:p>
    <w:p w:rsidR="00110BB3" w:rsidRDefault="00110BB3">
      <w:pPr>
        <w:numPr>
          <w:ilvl w:val="0"/>
          <w:numId w:val="18"/>
        </w:numPr>
        <w:tabs>
          <w:tab w:val="left" w:pos="720"/>
        </w:tabs>
        <w:spacing w:line="225" w:lineRule="auto"/>
        <w:rPr>
          <w:rFonts w:ascii="Courier New" w:eastAsia="Courier New" w:hAnsi="Courier New"/>
          <w:color w:val="FF0000"/>
          <w:sz w:val="19"/>
        </w:rPr>
      </w:pPr>
      <w:r>
        <w:rPr>
          <w:rFonts w:ascii="Garamond" w:eastAsia="Garamond" w:hAnsi="Garamond"/>
          <w:i/>
          <w:color w:val="FF0000"/>
          <w:sz w:val="22"/>
        </w:rPr>
        <w:t xml:space="preserve">Tuberculose </w:t>
      </w:r>
      <w:r>
        <w:rPr>
          <w:rFonts w:ascii="Garamond" w:eastAsia="Garamond" w:hAnsi="Garamond"/>
          <w:color w:val="FF0000"/>
          <w:sz w:val="22"/>
        </w:rPr>
        <w:t>: antécédent ou épisode récent de tuberculose documenté (bascilloscopie, radiographie</w:t>
      </w:r>
      <w:r>
        <w:rPr>
          <w:rFonts w:ascii="Garamond" w:eastAsia="Garamond" w:hAnsi="Garamond"/>
          <w:i/>
          <w:color w:val="FF0000"/>
          <w:sz w:val="22"/>
        </w:rPr>
        <w:t xml:space="preserve"> </w:t>
      </w:r>
      <w:r>
        <w:rPr>
          <w:rFonts w:ascii="Garamond" w:eastAsia="Garamond" w:hAnsi="Garamond"/>
          <w:color w:val="FF0000"/>
          <w:sz w:val="22"/>
        </w:rPr>
        <w:t>pulmonaire, test rapide Xpert …)</w:t>
      </w:r>
    </w:p>
    <w:p w:rsidR="00110BB3" w:rsidRDefault="00110BB3">
      <w:pPr>
        <w:spacing w:line="206" w:lineRule="exact"/>
        <w:rPr>
          <w:rFonts w:ascii="Courier New" w:eastAsia="Courier New" w:hAnsi="Courier New"/>
          <w:color w:val="FF0000"/>
          <w:sz w:val="19"/>
        </w:rPr>
      </w:pPr>
    </w:p>
    <w:p w:rsidR="00110BB3" w:rsidRDefault="00110BB3">
      <w:pPr>
        <w:numPr>
          <w:ilvl w:val="0"/>
          <w:numId w:val="18"/>
        </w:numPr>
        <w:tabs>
          <w:tab w:val="left" w:pos="720"/>
        </w:tabs>
        <w:spacing w:line="267" w:lineRule="auto"/>
        <w:ind w:right="20"/>
        <w:jc w:val="both"/>
        <w:rPr>
          <w:rFonts w:ascii="Courier New" w:eastAsia="Courier New" w:hAnsi="Courier New"/>
          <w:sz w:val="19"/>
        </w:rPr>
      </w:pPr>
      <w:r>
        <w:rPr>
          <w:rFonts w:ascii="Garamond" w:eastAsia="Garamond" w:hAnsi="Garamond"/>
          <w:i/>
          <w:sz w:val="22"/>
        </w:rPr>
        <w:t>Cancer ou hémopathie évolutifs</w:t>
      </w:r>
      <w:r>
        <w:rPr>
          <w:rFonts w:ascii="Garamond" w:eastAsia="Garamond" w:hAnsi="Garamond"/>
          <w:sz w:val="22"/>
        </w:rPr>
        <w:t>: à cocher si le patient est atteint</w:t>
      </w:r>
      <w:r>
        <w:rPr>
          <w:rFonts w:ascii="Garamond" w:eastAsia="Garamond" w:hAnsi="Garamond"/>
          <w:i/>
          <w:sz w:val="22"/>
        </w:rPr>
        <w:t xml:space="preserve"> </w:t>
      </w:r>
      <w:r>
        <w:rPr>
          <w:rFonts w:ascii="Garamond" w:eastAsia="Garamond" w:hAnsi="Garamond"/>
          <w:sz w:val="22"/>
        </w:rPr>
        <w:t>d’un cancer ou d’une hémopathie</w:t>
      </w:r>
      <w:r>
        <w:rPr>
          <w:rFonts w:ascii="Garamond" w:eastAsia="Garamond" w:hAnsi="Garamond"/>
          <w:i/>
          <w:sz w:val="22"/>
        </w:rPr>
        <w:t xml:space="preserve"> </w:t>
      </w:r>
      <w:r>
        <w:rPr>
          <w:rFonts w:ascii="Garamond" w:eastAsia="Garamond" w:hAnsi="Garamond"/>
          <w:sz w:val="22"/>
        </w:rPr>
        <w:t>maligne,</w:t>
      </w:r>
      <w:r>
        <w:rPr>
          <w:rFonts w:ascii="Garamond" w:eastAsia="Garamond" w:hAnsi="Garamond"/>
          <w:i/>
          <w:sz w:val="22"/>
        </w:rPr>
        <w:t xml:space="preserve"> </w:t>
      </w:r>
      <w:r>
        <w:rPr>
          <w:rFonts w:ascii="Garamond" w:eastAsia="Garamond" w:hAnsi="Garamond"/>
          <w:sz w:val="22"/>
        </w:rPr>
        <w:t>non considéré comme étant en rémission, en particulier s’il est en cours de traitement (chimiothérapie,</w:t>
      </w:r>
    </w:p>
    <w:p w:rsidR="00110BB3" w:rsidRDefault="00110BB3">
      <w:pPr>
        <w:spacing w:line="224" w:lineRule="auto"/>
        <w:ind w:right="20"/>
        <w:rPr>
          <w:rFonts w:ascii="Garamond" w:eastAsia="Garamond" w:hAnsi="Garamond"/>
          <w:sz w:val="22"/>
        </w:rPr>
      </w:pPr>
      <w:r>
        <w:rPr>
          <w:rFonts w:ascii="Garamond" w:eastAsia="Garamond" w:hAnsi="Garamond"/>
          <w:sz w:val="22"/>
        </w:rPr>
        <w:t>radiothérapie, chirurgie ou soins palliatifs) ou avec métastases. Il sera considéré comme ayant un cancer non évolutif, si depuis 2 ans, il n’y a pas eu de traitement mis en place ou d’apparition de métastases. Si le patient</w:t>
      </w:r>
    </w:p>
    <w:p w:rsidR="00110BB3" w:rsidRDefault="00110BB3">
      <w:pPr>
        <w:spacing w:line="23" w:lineRule="exact"/>
        <w:rPr>
          <w:rFonts w:ascii="Times New Roman" w:eastAsia="Times New Roman" w:hAnsi="Times New Roman"/>
        </w:rPr>
      </w:pPr>
    </w:p>
    <w:p w:rsidR="00110BB3" w:rsidRDefault="00110BB3">
      <w:pPr>
        <w:spacing w:line="225" w:lineRule="auto"/>
        <w:ind w:right="20"/>
        <w:rPr>
          <w:rFonts w:ascii="Garamond" w:eastAsia="Garamond" w:hAnsi="Garamond"/>
          <w:sz w:val="22"/>
        </w:rPr>
      </w:pPr>
      <w:r>
        <w:rPr>
          <w:rFonts w:ascii="Garamond" w:eastAsia="Garamond" w:hAnsi="Garamond"/>
          <w:sz w:val="22"/>
        </w:rPr>
        <w:t>est sous hormonothérapie au long cours, et considéré en rémission, il peut être codé comme non évolutif. Un antécédent de cancer mais non évolutif à l’inclusion peut être renseigné dans l’item « autres comorbidités ».</w:t>
      </w:r>
    </w:p>
    <w:p w:rsidR="00110BB3" w:rsidRDefault="00110BB3">
      <w:pPr>
        <w:spacing w:line="225" w:lineRule="auto"/>
        <w:ind w:right="20"/>
        <w:rPr>
          <w:rFonts w:ascii="Garamond" w:eastAsia="Garamond" w:hAnsi="Garamond"/>
          <w:sz w:val="22"/>
        </w:rPr>
        <w:sectPr w:rsidR="00110BB3">
          <w:pgSz w:w="11900" w:h="16838"/>
          <w:pgMar w:top="1440" w:right="1279" w:bottom="604" w:left="1140" w:header="0" w:footer="0" w:gutter="0"/>
          <w:cols w:space="0" w:equalWidth="0">
            <w:col w:w="9480"/>
          </w:cols>
          <w:docGrid w:linePitch="360"/>
        </w:sectPr>
      </w:pPr>
    </w:p>
    <w:p w:rsidR="00110BB3" w:rsidRDefault="00110BB3">
      <w:pPr>
        <w:spacing w:line="0" w:lineRule="atLeast"/>
        <w:rPr>
          <w:rFonts w:ascii="Garamond" w:eastAsia="Garamond" w:hAnsi="Garamond"/>
          <w:sz w:val="22"/>
        </w:rPr>
      </w:pPr>
      <w:bookmarkStart w:id="8" w:name="page9"/>
      <w:bookmarkEnd w:id="8"/>
      <w:r>
        <w:rPr>
          <w:rFonts w:ascii="Garamond" w:eastAsia="Garamond" w:hAnsi="Garamond"/>
          <w:b/>
          <w:sz w:val="22"/>
        </w:rPr>
        <w:lastRenderedPageBreak/>
        <w:t xml:space="preserve">Handicap </w:t>
      </w:r>
      <w:r>
        <w:rPr>
          <w:rFonts w:ascii="Garamond" w:eastAsia="Garamond" w:hAnsi="Garamond"/>
          <w:sz w:val="22"/>
        </w:rPr>
        <w:t>: cocher toutes les cases nécessaires.</w:t>
      </w:r>
    </w:p>
    <w:p w:rsidR="00110BB3" w:rsidRDefault="00110BB3">
      <w:pPr>
        <w:numPr>
          <w:ilvl w:val="0"/>
          <w:numId w:val="19"/>
        </w:numPr>
        <w:tabs>
          <w:tab w:val="left" w:pos="720"/>
        </w:tabs>
        <w:spacing w:line="228" w:lineRule="auto"/>
        <w:ind w:left="720" w:hanging="720"/>
        <w:rPr>
          <w:rFonts w:ascii="Times New Roman" w:eastAsia="Times New Roman" w:hAnsi="Times New Roman"/>
          <w:sz w:val="22"/>
        </w:rPr>
      </w:pPr>
      <w:r>
        <w:rPr>
          <w:rFonts w:ascii="Garamond" w:eastAsia="Garamond" w:hAnsi="Garamond"/>
          <w:i/>
          <w:sz w:val="22"/>
        </w:rPr>
        <w:t>Aucun handicap</w:t>
      </w:r>
    </w:p>
    <w:p w:rsidR="00110BB3" w:rsidRDefault="00110BB3">
      <w:pPr>
        <w:numPr>
          <w:ilvl w:val="0"/>
          <w:numId w:val="19"/>
        </w:numPr>
        <w:tabs>
          <w:tab w:val="left" w:pos="720"/>
        </w:tabs>
        <w:spacing w:line="0" w:lineRule="atLeast"/>
        <w:ind w:left="720" w:hanging="720"/>
        <w:rPr>
          <w:rFonts w:ascii="Times New Roman" w:eastAsia="Times New Roman" w:hAnsi="Times New Roman"/>
          <w:sz w:val="22"/>
        </w:rPr>
      </w:pPr>
      <w:r>
        <w:rPr>
          <w:rFonts w:ascii="Garamond" w:eastAsia="Garamond" w:hAnsi="Garamond"/>
          <w:i/>
          <w:sz w:val="22"/>
        </w:rPr>
        <w:t xml:space="preserve">Paraplégie ou hémiplégie </w:t>
      </w:r>
      <w:r>
        <w:rPr>
          <w:rFonts w:ascii="Garamond" w:eastAsia="Garamond" w:hAnsi="Garamond"/>
          <w:sz w:val="22"/>
        </w:rPr>
        <w:t>: déficit moteur d’un côté (membre supérieur et inférieur) ou des 2 membres</w:t>
      </w:r>
    </w:p>
    <w:p w:rsidR="00110BB3" w:rsidRDefault="00110BB3">
      <w:pPr>
        <w:spacing w:line="5"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inférieurs.</w:t>
      </w:r>
    </w:p>
    <w:p w:rsidR="00110BB3" w:rsidRDefault="00110BB3">
      <w:pPr>
        <w:spacing w:line="31" w:lineRule="exact"/>
        <w:rPr>
          <w:rFonts w:ascii="Times New Roman" w:eastAsia="Times New Roman" w:hAnsi="Times New Roman"/>
        </w:rPr>
      </w:pPr>
    </w:p>
    <w:p w:rsidR="00110BB3" w:rsidRDefault="00110BB3">
      <w:pPr>
        <w:numPr>
          <w:ilvl w:val="0"/>
          <w:numId w:val="20"/>
        </w:numPr>
        <w:tabs>
          <w:tab w:val="left" w:pos="708"/>
        </w:tabs>
        <w:spacing w:line="228" w:lineRule="auto"/>
        <w:jc w:val="both"/>
        <w:rPr>
          <w:rFonts w:ascii="Garamond" w:eastAsia="Garamond" w:hAnsi="Garamond"/>
          <w:b/>
          <w:sz w:val="22"/>
        </w:rPr>
      </w:pPr>
      <w:r>
        <w:rPr>
          <w:rFonts w:ascii="Garamond" w:eastAsia="Garamond" w:hAnsi="Garamond"/>
          <w:i/>
          <w:sz w:val="22"/>
        </w:rPr>
        <w:t xml:space="preserve">Les troubles sévères du comportement </w:t>
      </w:r>
      <w:r>
        <w:rPr>
          <w:rFonts w:ascii="Garamond" w:eastAsia="Garamond" w:hAnsi="Garamond"/>
          <w:sz w:val="22"/>
        </w:rPr>
        <w:t>comprennent démence, psychose, névrose grave limitant de façon</w:t>
      </w:r>
      <w:r>
        <w:rPr>
          <w:rFonts w:ascii="Garamond" w:eastAsia="Garamond" w:hAnsi="Garamond"/>
          <w:i/>
          <w:sz w:val="22"/>
        </w:rPr>
        <w:t xml:space="preserve"> </w:t>
      </w:r>
      <w:r>
        <w:rPr>
          <w:rFonts w:ascii="Garamond" w:eastAsia="Garamond" w:hAnsi="Garamond"/>
          <w:sz w:val="22"/>
        </w:rPr>
        <w:t>importante l'autonomie ou la compliance au traitement du patient. En cas de problèmes sévères de compliance (saut fréquent des séances de dialyse), le patient peut être codé à oui. Par contre, ne rentre pas dans ce cadre la</w:t>
      </w:r>
    </w:p>
    <w:p w:rsidR="00110BB3" w:rsidRDefault="00110BB3">
      <w:pPr>
        <w:spacing w:line="236" w:lineRule="auto"/>
        <w:rPr>
          <w:rFonts w:ascii="Garamond" w:eastAsia="Garamond" w:hAnsi="Garamond"/>
          <w:sz w:val="22"/>
        </w:rPr>
      </w:pPr>
      <w:r>
        <w:rPr>
          <w:rFonts w:ascii="Garamond" w:eastAsia="Garamond" w:hAnsi="Garamond"/>
          <w:sz w:val="22"/>
        </w:rPr>
        <w:t>compliance aux médicaments.</w:t>
      </w:r>
    </w:p>
    <w:p w:rsidR="00110BB3" w:rsidRDefault="00110BB3">
      <w:pPr>
        <w:numPr>
          <w:ilvl w:val="0"/>
          <w:numId w:val="21"/>
        </w:numPr>
        <w:tabs>
          <w:tab w:val="left" w:pos="720"/>
        </w:tabs>
        <w:spacing w:line="0" w:lineRule="atLeast"/>
        <w:ind w:left="720" w:hanging="720"/>
        <w:rPr>
          <w:rFonts w:ascii="Times New Roman" w:eastAsia="Times New Roman" w:hAnsi="Times New Roman"/>
          <w:sz w:val="22"/>
        </w:rPr>
      </w:pPr>
      <w:r>
        <w:rPr>
          <w:rFonts w:ascii="Garamond" w:eastAsia="Garamond" w:hAnsi="Garamond"/>
          <w:i/>
          <w:sz w:val="22"/>
        </w:rPr>
        <w:t xml:space="preserve">Les amputations des membres inférieurs </w:t>
      </w:r>
      <w:r>
        <w:rPr>
          <w:rFonts w:ascii="Garamond" w:eastAsia="Garamond" w:hAnsi="Garamond"/>
          <w:sz w:val="22"/>
        </w:rPr>
        <w:t>concernent ceux limitant la marche (les amputations d’orteils ne</w:t>
      </w:r>
    </w:p>
    <w:p w:rsidR="00110BB3" w:rsidRDefault="00110BB3">
      <w:pPr>
        <w:spacing w:line="41" w:lineRule="exact"/>
        <w:rPr>
          <w:rFonts w:ascii="Times New Roman" w:eastAsia="Times New Roman" w:hAnsi="Times New Roman"/>
        </w:rPr>
      </w:pPr>
    </w:p>
    <w:p w:rsidR="00110BB3" w:rsidRDefault="00110BB3">
      <w:pPr>
        <w:spacing w:line="213" w:lineRule="auto"/>
        <w:ind w:right="20"/>
        <w:rPr>
          <w:rFonts w:ascii="Garamond" w:eastAsia="Garamond" w:hAnsi="Garamond"/>
          <w:sz w:val="22"/>
        </w:rPr>
      </w:pPr>
      <w:r>
        <w:rPr>
          <w:rFonts w:ascii="Garamond" w:eastAsia="Garamond" w:hAnsi="Garamond"/>
          <w:sz w:val="22"/>
        </w:rPr>
        <w:t>sont donc pas incluses). Par contre, les amputations transmétatarsiennes, amputations du moyen ou de l’arrière-pied (amputation de Lisfranc et amputation de Chopart sont incluses).</w:t>
      </w:r>
    </w:p>
    <w:p w:rsidR="00110BB3" w:rsidRDefault="00110BB3">
      <w:pPr>
        <w:spacing w:line="1" w:lineRule="exact"/>
        <w:rPr>
          <w:rFonts w:ascii="Times New Roman" w:eastAsia="Times New Roman" w:hAnsi="Times New Roman"/>
        </w:rPr>
      </w:pPr>
    </w:p>
    <w:p w:rsidR="00110BB3" w:rsidRDefault="00110BB3">
      <w:pPr>
        <w:numPr>
          <w:ilvl w:val="0"/>
          <w:numId w:val="22"/>
        </w:numPr>
        <w:tabs>
          <w:tab w:val="left" w:pos="720"/>
        </w:tabs>
        <w:spacing w:line="0" w:lineRule="atLeast"/>
        <w:ind w:left="720" w:hanging="720"/>
        <w:rPr>
          <w:rFonts w:ascii="Times New Roman" w:eastAsia="Times New Roman" w:hAnsi="Times New Roman"/>
          <w:sz w:val="22"/>
        </w:rPr>
      </w:pPr>
      <w:r>
        <w:rPr>
          <w:rFonts w:ascii="Garamond" w:eastAsia="Garamond" w:hAnsi="Garamond"/>
          <w:i/>
          <w:sz w:val="22"/>
        </w:rPr>
        <w:t xml:space="preserve">Les troubles sévères de la vue </w:t>
      </w:r>
      <w:r>
        <w:rPr>
          <w:rFonts w:ascii="Garamond" w:eastAsia="Garamond" w:hAnsi="Garamond"/>
          <w:sz w:val="22"/>
        </w:rPr>
        <w:t>limitant les activités de la vie quotidienne et l’autonomie du patient</w:t>
      </w:r>
      <w:r>
        <w:rPr>
          <w:rFonts w:ascii="Garamond" w:eastAsia="Garamond" w:hAnsi="Garamond"/>
          <w:i/>
          <w:sz w:val="22"/>
        </w:rPr>
        <w:t>.</w:t>
      </w:r>
    </w:p>
    <w:p w:rsidR="00110BB3" w:rsidRDefault="00110BB3">
      <w:pPr>
        <w:spacing w:line="20" w:lineRule="exact"/>
        <w:rPr>
          <w:rFonts w:ascii="Times New Roman" w:eastAsia="Times New Roman" w:hAnsi="Times New Roman"/>
          <w:sz w:val="22"/>
        </w:rPr>
      </w:pPr>
    </w:p>
    <w:p w:rsidR="00110BB3" w:rsidRDefault="00110BB3">
      <w:pPr>
        <w:numPr>
          <w:ilvl w:val="0"/>
          <w:numId w:val="22"/>
        </w:numPr>
        <w:tabs>
          <w:tab w:val="left" w:pos="720"/>
        </w:tabs>
        <w:spacing w:line="229" w:lineRule="auto"/>
        <w:ind w:left="720" w:hanging="720"/>
        <w:rPr>
          <w:rFonts w:ascii="Times New Roman" w:eastAsia="Times New Roman" w:hAnsi="Times New Roman"/>
          <w:sz w:val="22"/>
        </w:rPr>
      </w:pPr>
      <w:r>
        <w:rPr>
          <w:rFonts w:ascii="Garamond" w:eastAsia="Garamond" w:hAnsi="Garamond"/>
          <w:i/>
          <w:sz w:val="22"/>
        </w:rPr>
        <w:t>La cécité</w:t>
      </w:r>
    </w:p>
    <w:p w:rsidR="00110BB3" w:rsidRDefault="00110BB3">
      <w:pPr>
        <w:spacing w:line="2" w:lineRule="exact"/>
        <w:rPr>
          <w:rFonts w:ascii="Times New Roman" w:eastAsia="Times New Roman" w:hAnsi="Times New Roman"/>
          <w:sz w:val="22"/>
        </w:rPr>
      </w:pPr>
    </w:p>
    <w:p w:rsidR="00110BB3" w:rsidRDefault="00110BB3">
      <w:pPr>
        <w:numPr>
          <w:ilvl w:val="0"/>
          <w:numId w:val="22"/>
        </w:numPr>
        <w:tabs>
          <w:tab w:val="left" w:pos="720"/>
        </w:tabs>
        <w:spacing w:line="0" w:lineRule="atLeast"/>
        <w:ind w:left="720" w:hanging="720"/>
        <w:rPr>
          <w:rFonts w:ascii="Times New Roman" w:eastAsia="Times New Roman" w:hAnsi="Times New Roman"/>
          <w:sz w:val="22"/>
        </w:rPr>
      </w:pPr>
      <w:r>
        <w:rPr>
          <w:rFonts w:ascii="Garamond" w:eastAsia="Garamond" w:hAnsi="Garamond"/>
          <w:i/>
          <w:sz w:val="22"/>
        </w:rPr>
        <w:t xml:space="preserve">Autre </w:t>
      </w:r>
      <w:r>
        <w:rPr>
          <w:rFonts w:ascii="Garamond" w:eastAsia="Garamond" w:hAnsi="Garamond"/>
          <w:sz w:val="22"/>
        </w:rPr>
        <w:t>: à</w:t>
      </w:r>
      <w:r>
        <w:rPr>
          <w:rFonts w:ascii="Garamond" w:eastAsia="Garamond" w:hAnsi="Garamond"/>
          <w:i/>
          <w:sz w:val="22"/>
        </w:rPr>
        <w:t xml:space="preserve"> </w:t>
      </w:r>
      <w:r>
        <w:rPr>
          <w:rFonts w:ascii="Garamond" w:eastAsia="Garamond" w:hAnsi="Garamond"/>
          <w:sz w:val="22"/>
        </w:rPr>
        <w:t>cocher en cas de handicap supplémentaire limitant de façon importante l’autonomie ou la</w:t>
      </w:r>
    </w:p>
    <w:p w:rsidR="00110BB3" w:rsidRDefault="00110BB3">
      <w:pPr>
        <w:spacing w:line="7"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compliance au traitement du patient. Indiquer le handicap concerné.</w:t>
      </w:r>
    </w:p>
    <w:p w:rsidR="00110BB3" w:rsidRDefault="00110BB3">
      <w:pPr>
        <w:spacing w:line="212" w:lineRule="exact"/>
        <w:rPr>
          <w:rFonts w:ascii="Times New Roman" w:eastAsia="Times New Roman" w:hAnsi="Times New Roman"/>
        </w:rPr>
      </w:pPr>
    </w:p>
    <w:p w:rsidR="00110BB3" w:rsidRDefault="00110BB3">
      <w:pPr>
        <w:spacing w:line="250" w:lineRule="auto"/>
        <w:jc w:val="both"/>
        <w:rPr>
          <w:rFonts w:ascii="Garamond" w:eastAsia="Garamond" w:hAnsi="Garamond"/>
          <w:sz w:val="22"/>
        </w:rPr>
      </w:pPr>
      <w:r>
        <w:rPr>
          <w:rFonts w:ascii="Garamond" w:eastAsia="Garamond" w:hAnsi="Garamond"/>
          <w:b/>
          <w:sz w:val="22"/>
        </w:rPr>
        <w:t xml:space="preserve">Marche </w:t>
      </w:r>
      <w:r>
        <w:rPr>
          <w:rFonts w:ascii="Garamond" w:eastAsia="Garamond" w:hAnsi="Garamond"/>
          <w:sz w:val="22"/>
        </w:rPr>
        <w:t>: cocher une seule case pour</w:t>
      </w:r>
      <w:r>
        <w:rPr>
          <w:rFonts w:ascii="Garamond" w:eastAsia="Garamond" w:hAnsi="Garamond"/>
          <w:b/>
          <w:sz w:val="22"/>
        </w:rPr>
        <w:t xml:space="preserve"> </w:t>
      </w:r>
      <w:r>
        <w:rPr>
          <w:rFonts w:ascii="Garamond" w:eastAsia="Garamond" w:hAnsi="Garamond"/>
          <w:sz w:val="22"/>
        </w:rPr>
        <w:t>indiquer si (1) le patient présente une “</w:t>
      </w:r>
      <w:r>
        <w:rPr>
          <w:rFonts w:ascii="Garamond" w:eastAsia="Garamond" w:hAnsi="Garamond"/>
          <w:b/>
          <w:sz w:val="22"/>
        </w:rPr>
        <w:t xml:space="preserve"> </w:t>
      </w:r>
      <w:r>
        <w:rPr>
          <w:rFonts w:ascii="Garamond" w:eastAsia="Garamond" w:hAnsi="Garamond"/>
          <w:sz w:val="22"/>
        </w:rPr>
        <w:t>incapacité totale à marcher</w:t>
      </w:r>
      <w:r>
        <w:rPr>
          <w:rFonts w:ascii="Garamond" w:eastAsia="Garamond" w:hAnsi="Garamond"/>
          <w:b/>
          <w:sz w:val="22"/>
        </w:rPr>
        <w:t xml:space="preserve"> </w:t>
      </w:r>
      <w:r>
        <w:rPr>
          <w:rFonts w:ascii="Garamond" w:eastAsia="Garamond" w:hAnsi="Garamond"/>
          <w:sz w:val="22"/>
        </w:rPr>
        <w:t>”,</w:t>
      </w:r>
      <w:r>
        <w:rPr>
          <w:rFonts w:ascii="Garamond" w:eastAsia="Garamond" w:hAnsi="Garamond"/>
          <w:b/>
          <w:sz w:val="22"/>
        </w:rPr>
        <w:t xml:space="preserve"> </w:t>
      </w:r>
      <w:r>
        <w:rPr>
          <w:rFonts w:ascii="Garamond" w:eastAsia="Garamond" w:hAnsi="Garamond"/>
          <w:sz w:val="22"/>
        </w:rPr>
        <w:t>c’est- à-dire qu’une chaise ou un brancard sont nécessaires pour ses déplacements, ou (2) s’il peut marcher, mais que l’aide d’une tierce personne est requise pour ses déplacements, ou (3) s’il est totalement autonome dans ses déplacements (même assisté d’une canne ou d’un déambulateur).</w:t>
      </w:r>
    </w:p>
    <w:p w:rsidR="00110BB3" w:rsidRDefault="00110BB3">
      <w:pPr>
        <w:spacing w:line="323" w:lineRule="exact"/>
        <w:rPr>
          <w:rFonts w:ascii="Times New Roman" w:eastAsia="Times New Roman" w:hAnsi="Times New Roman"/>
        </w:rPr>
      </w:pPr>
    </w:p>
    <w:p w:rsidR="00110BB3" w:rsidRDefault="00110BB3">
      <w:pPr>
        <w:spacing w:line="0" w:lineRule="atLeast"/>
        <w:rPr>
          <w:b/>
          <w:color w:val="AD0101"/>
          <w:sz w:val="28"/>
        </w:rPr>
      </w:pPr>
      <w:r>
        <w:rPr>
          <w:b/>
          <w:color w:val="AD0101"/>
          <w:sz w:val="28"/>
        </w:rPr>
        <w:t>F – Items pédiatriques</w:t>
      </w:r>
    </w:p>
    <w:p w:rsidR="00110BB3" w:rsidRDefault="00110BB3">
      <w:pPr>
        <w:spacing w:line="253"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Périmètre crânien </w:t>
      </w:r>
      <w:r>
        <w:rPr>
          <w:rFonts w:ascii="Garamond" w:eastAsia="Garamond" w:hAnsi="Garamond"/>
          <w:sz w:val="22"/>
        </w:rPr>
        <w:t>: mesure la plus récente, en cm.</w:t>
      </w:r>
    </w:p>
    <w:p w:rsidR="00110BB3" w:rsidRDefault="00110BB3">
      <w:pPr>
        <w:spacing w:line="247"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Périmètre brachial </w:t>
      </w:r>
      <w:r>
        <w:rPr>
          <w:rFonts w:ascii="Garamond" w:eastAsia="Garamond" w:hAnsi="Garamond"/>
          <w:sz w:val="22"/>
        </w:rPr>
        <w:t>: mesure la plus récente, en cm.</w:t>
      </w:r>
    </w:p>
    <w:p w:rsidR="00110BB3" w:rsidRDefault="00110BB3">
      <w:pPr>
        <w:spacing w:line="221" w:lineRule="exact"/>
        <w:rPr>
          <w:rFonts w:ascii="Times New Roman" w:eastAsia="Times New Roman" w:hAnsi="Times New Roman"/>
        </w:rPr>
      </w:pPr>
    </w:p>
    <w:p w:rsidR="00110BB3" w:rsidRDefault="00110BB3">
      <w:pPr>
        <w:spacing w:line="274" w:lineRule="auto"/>
        <w:jc w:val="both"/>
        <w:rPr>
          <w:rFonts w:ascii="Garamond" w:eastAsia="Garamond" w:hAnsi="Garamond"/>
          <w:sz w:val="22"/>
        </w:rPr>
      </w:pPr>
      <w:r>
        <w:rPr>
          <w:rFonts w:ascii="Garamond" w:eastAsia="Garamond" w:hAnsi="Garamond"/>
          <w:b/>
          <w:sz w:val="22"/>
        </w:rPr>
        <w:t xml:space="preserve">Taille : </w:t>
      </w:r>
      <w:r>
        <w:rPr>
          <w:rFonts w:ascii="Garamond" w:eastAsia="Garamond" w:hAnsi="Garamond"/>
          <w:sz w:val="22"/>
        </w:rPr>
        <w:t>indiquer la taille mesurée en centimètres, mesurée en position couchée jusqu’à 2 ans, debout</w:t>
      </w:r>
      <w:r>
        <w:rPr>
          <w:rFonts w:ascii="Garamond" w:eastAsia="Garamond" w:hAnsi="Garamond"/>
          <w:b/>
          <w:sz w:val="22"/>
        </w:rPr>
        <w:t xml:space="preserve"> </w:t>
      </w:r>
      <w:r>
        <w:rPr>
          <w:rFonts w:ascii="Garamond" w:eastAsia="Garamond" w:hAnsi="Garamond"/>
          <w:sz w:val="22"/>
        </w:rPr>
        <w:t>ensuite si</w:t>
      </w:r>
      <w:r>
        <w:rPr>
          <w:rFonts w:ascii="Garamond" w:eastAsia="Garamond" w:hAnsi="Garamond"/>
          <w:b/>
          <w:sz w:val="22"/>
        </w:rPr>
        <w:t xml:space="preserve"> </w:t>
      </w:r>
      <w:r>
        <w:rPr>
          <w:rFonts w:ascii="Garamond" w:eastAsia="Garamond" w:hAnsi="Garamond"/>
          <w:sz w:val="22"/>
        </w:rPr>
        <w:t>possible. En cas d’amputation des membres inférieurs, indiquer la taille avant amputation.</w:t>
      </w:r>
    </w:p>
    <w:p w:rsidR="00110BB3" w:rsidRDefault="00110BB3">
      <w:pPr>
        <w:spacing w:line="205"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Scolarisé </w:t>
      </w:r>
      <w:r>
        <w:rPr>
          <w:rFonts w:ascii="Garamond" w:eastAsia="Garamond" w:hAnsi="Garamond"/>
          <w:sz w:val="22"/>
        </w:rPr>
        <w:t>: cocher la case correspondante</w:t>
      </w:r>
    </w:p>
    <w:p w:rsidR="00110BB3" w:rsidRDefault="00110BB3">
      <w:pPr>
        <w:spacing w:line="241" w:lineRule="exact"/>
        <w:rPr>
          <w:rFonts w:ascii="Times New Roman" w:eastAsia="Times New Roman" w:hAnsi="Times New Roman"/>
        </w:rPr>
      </w:pPr>
    </w:p>
    <w:p w:rsidR="00110BB3" w:rsidRDefault="00110BB3">
      <w:pPr>
        <w:spacing w:line="0" w:lineRule="atLeast"/>
        <w:rPr>
          <w:b/>
          <w:color w:val="AD0101"/>
          <w:sz w:val="28"/>
        </w:rPr>
      </w:pPr>
      <w:r>
        <w:rPr>
          <w:b/>
          <w:color w:val="AD0101"/>
          <w:sz w:val="28"/>
        </w:rPr>
        <w:t>G – Traitement actuel</w:t>
      </w:r>
    </w:p>
    <w:p w:rsidR="00110BB3" w:rsidRDefault="00110BB3">
      <w:pPr>
        <w:spacing w:line="342" w:lineRule="exact"/>
        <w:rPr>
          <w:rFonts w:ascii="Times New Roman" w:eastAsia="Times New Roman" w:hAnsi="Times New Roman"/>
        </w:rPr>
      </w:pPr>
    </w:p>
    <w:p w:rsidR="00110BB3" w:rsidRDefault="00110BB3">
      <w:pPr>
        <w:spacing w:line="0" w:lineRule="atLeast"/>
        <w:ind w:left="700"/>
        <w:rPr>
          <w:b/>
          <w:color w:val="AD0101"/>
          <w:sz w:val="28"/>
        </w:rPr>
      </w:pPr>
      <w:r>
        <w:rPr>
          <w:b/>
          <w:color w:val="AD0101"/>
          <w:sz w:val="28"/>
        </w:rPr>
        <w:t>1 – Malade non traité</w:t>
      </w:r>
    </w:p>
    <w:p w:rsidR="00110BB3" w:rsidRDefault="00110BB3">
      <w:pPr>
        <w:spacing w:line="320"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Concerne les patients au stade V.</w:t>
      </w:r>
    </w:p>
    <w:p w:rsidR="00110BB3" w:rsidRDefault="00110BB3">
      <w:pPr>
        <w:spacing w:line="0" w:lineRule="atLeast"/>
        <w:rPr>
          <w:rFonts w:ascii="Garamond" w:eastAsia="Garamond" w:hAnsi="Garamond"/>
          <w:sz w:val="22"/>
        </w:rPr>
      </w:pPr>
      <w:r>
        <w:rPr>
          <w:rFonts w:ascii="Garamond" w:eastAsia="Garamond" w:hAnsi="Garamond"/>
          <w:sz w:val="22"/>
        </w:rPr>
        <w:t>Préciser la raison de l’absence de projet de suppléance en cochant la case correspondante.</w:t>
      </w:r>
    </w:p>
    <w:p w:rsidR="00110BB3" w:rsidRDefault="00110BB3">
      <w:pPr>
        <w:spacing w:line="28"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Préciser la créatininémie (en mg/l) et le DFG selon MDRD.</w:t>
      </w:r>
    </w:p>
    <w:p w:rsidR="00110BB3" w:rsidRDefault="00110BB3">
      <w:pPr>
        <w:spacing w:line="337" w:lineRule="exact"/>
        <w:rPr>
          <w:rFonts w:ascii="Times New Roman" w:eastAsia="Times New Roman" w:hAnsi="Times New Roman"/>
        </w:rPr>
      </w:pPr>
    </w:p>
    <w:p w:rsidR="00110BB3" w:rsidRDefault="00110BB3">
      <w:pPr>
        <w:spacing w:line="0" w:lineRule="atLeast"/>
        <w:ind w:left="700"/>
        <w:rPr>
          <w:b/>
          <w:color w:val="AD0101"/>
          <w:sz w:val="28"/>
        </w:rPr>
      </w:pPr>
      <w:r>
        <w:rPr>
          <w:b/>
          <w:color w:val="AD0101"/>
          <w:sz w:val="28"/>
        </w:rPr>
        <w:t>2 – Malade traité</w:t>
      </w:r>
    </w:p>
    <w:p w:rsidR="00110BB3" w:rsidRDefault="00110BB3">
      <w:pPr>
        <w:spacing w:line="347"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Concerne les patients traités par hémodialyse, dialyse péritonéale ou greffe rénale.</w:t>
      </w:r>
    </w:p>
    <w:p w:rsidR="00110BB3" w:rsidRDefault="00110BB3">
      <w:pPr>
        <w:spacing w:line="245" w:lineRule="exact"/>
        <w:rPr>
          <w:rFonts w:ascii="Times New Roman" w:eastAsia="Times New Roman" w:hAnsi="Times New Roman"/>
        </w:rPr>
      </w:pPr>
    </w:p>
    <w:p w:rsidR="00110BB3" w:rsidRDefault="00110BB3">
      <w:pPr>
        <w:spacing w:line="0" w:lineRule="atLeast"/>
        <w:ind w:left="700"/>
        <w:rPr>
          <w:rFonts w:ascii="Garamond" w:eastAsia="Garamond" w:hAnsi="Garamond"/>
          <w:b/>
          <w:sz w:val="22"/>
        </w:rPr>
      </w:pPr>
      <w:r>
        <w:rPr>
          <w:rFonts w:ascii="Garamond" w:eastAsia="Garamond" w:hAnsi="Garamond"/>
          <w:b/>
          <w:sz w:val="22"/>
        </w:rPr>
        <w:t>Hémodialyse</w:t>
      </w:r>
    </w:p>
    <w:p w:rsidR="00110BB3" w:rsidRDefault="00110BB3">
      <w:pPr>
        <w:spacing w:line="251"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Modalités </w:t>
      </w:r>
      <w:r>
        <w:rPr>
          <w:rFonts w:ascii="Garamond" w:eastAsia="Garamond" w:hAnsi="Garamond"/>
          <w:sz w:val="22"/>
        </w:rPr>
        <w:t>: cocher la case correspondante.</w:t>
      </w:r>
    </w:p>
    <w:p w:rsidR="00110BB3" w:rsidRDefault="00110BB3">
      <w:pPr>
        <w:spacing w:line="247"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Nombre de séance par semaine </w:t>
      </w:r>
      <w:r>
        <w:rPr>
          <w:rFonts w:ascii="Garamond" w:eastAsia="Garamond" w:hAnsi="Garamond"/>
          <w:sz w:val="22"/>
        </w:rPr>
        <w:t>: préciser le nombre de séance de dialyse effectué par semaine.</w:t>
      </w:r>
    </w:p>
    <w:p w:rsidR="00110BB3" w:rsidRDefault="00110BB3">
      <w:pPr>
        <w:spacing w:line="216"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Durée moyenne d’une séance </w:t>
      </w:r>
      <w:r>
        <w:rPr>
          <w:rFonts w:ascii="Garamond" w:eastAsia="Garamond" w:hAnsi="Garamond"/>
          <w:sz w:val="22"/>
        </w:rPr>
        <w:t>: préciser la durée moyenne d’une séance de dialyse.</w:t>
      </w:r>
    </w:p>
    <w:p w:rsidR="00110BB3" w:rsidRDefault="00110BB3">
      <w:pPr>
        <w:spacing w:line="280"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Circonstances de démarrage de la dialyse </w:t>
      </w:r>
      <w:r>
        <w:rPr>
          <w:rFonts w:ascii="Garamond" w:eastAsia="Garamond" w:hAnsi="Garamond"/>
          <w:sz w:val="22"/>
        </w:rPr>
        <w:t>: cocher la case correspondante.</w:t>
      </w:r>
    </w:p>
    <w:p w:rsidR="00110BB3" w:rsidRDefault="00110BB3">
      <w:pPr>
        <w:spacing w:line="216"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Voie d’abord </w:t>
      </w:r>
      <w:r>
        <w:rPr>
          <w:rFonts w:ascii="Garamond" w:eastAsia="Garamond" w:hAnsi="Garamond"/>
          <w:sz w:val="22"/>
        </w:rPr>
        <w:t>: cocher la case correspondante.</w:t>
      </w:r>
    </w:p>
    <w:p w:rsidR="00110BB3" w:rsidRDefault="00110BB3">
      <w:pPr>
        <w:spacing w:line="0" w:lineRule="atLeast"/>
        <w:rPr>
          <w:rFonts w:ascii="Garamond" w:eastAsia="Garamond" w:hAnsi="Garamond"/>
          <w:sz w:val="22"/>
        </w:rPr>
        <w:sectPr w:rsidR="00110BB3">
          <w:pgSz w:w="11900" w:h="16838"/>
          <w:pgMar w:top="1440" w:right="1279" w:bottom="330" w:left="1140" w:header="0" w:footer="0" w:gutter="0"/>
          <w:cols w:space="0" w:equalWidth="0">
            <w:col w:w="9480"/>
          </w:cols>
          <w:docGrid w:linePitch="360"/>
        </w:sectPr>
      </w:pPr>
    </w:p>
    <w:p w:rsidR="00110BB3" w:rsidRDefault="00110BB3">
      <w:pPr>
        <w:spacing w:line="0" w:lineRule="atLeast"/>
        <w:rPr>
          <w:rFonts w:ascii="Garamond" w:eastAsia="Garamond" w:hAnsi="Garamond"/>
          <w:sz w:val="22"/>
        </w:rPr>
      </w:pPr>
      <w:bookmarkStart w:id="9" w:name="page10"/>
      <w:bookmarkEnd w:id="9"/>
      <w:r>
        <w:rPr>
          <w:rFonts w:ascii="Garamond" w:eastAsia="Garamond" w:hAnsi="Garamond"/>
          <w:b/>
          <w:sz w:val="22"/>
        </w:rPr>
        <w:lastRenderedPageBreak/>
        <w:t xml:space="preserve">Projet de greffe rénale </w:t>
      </w:r>
      <w:r>
        <w:rPr>
          <w:rFonts w:ascii="Garamond" w:eastAsia="Garamond" w:hAnsi="Garamond"/>
          <w:sz w:val="22"/>
        </w:rPr>
        <w:t>: cocher la case correspondante.</w:t>
      </w:r>
    </w:p>
    <w:p w:rsidR="00110BB3" w:rsidRDefault="00110BB3">
      <w:pPr>
        <w:spacing w:line="243" w:lineRule="exact"/>
        <w:rPr>
          <w:rFonts w:ascii="Times New Roman" w:eastAsia="Times New Roman" w:hAnsi="Times New Roman"/>
        </w:rPr>
      </w:pPr>
    </w:p>
    <w:p w:rsidR="00110BB3" w:rsidRDefault="00110BB3">
      <w:pPr>
        <w:spacing w:line="0" w:lineRule="atLeast"/>
        <w:ind w:left="700"/>
        <w:rPr>
          <w:rFonts w:ascii="Garamond" w:eastAsia="Garamond" w:hAnsi="Garamond"/>
          <w:b/>
          <w:sz w:val="22"/>
        </w:rPr>
      </w:pPr>
      <w:r>
        <w:rPr>
          <w:rFonts w:ascii="Garamond" w:eastAsia="Garamond" w:hAnsi="Garamond"/>
          <w:b/>
          <w:sz w:val="22"/>
        </w:rPr>
        <w:t>Dialyse péritonéale</w:t>
      </w:r>
    </w:p>
    <w:p w:rsidR="00110BB3" w:rsidRDefault="00110BB3">
      <w:pPr>
        <w:spacing w:line="253"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Modalités </w:t>
      </w:r>
      <w:r>
        <w:rPr>
          <w:rFonts w:ascii="Garamond" w:eastAsia="Garamond" w:hAnsi="Garamond"/>
          <w:sz w:val="22"/>
        </w:rPr>
        <w:t>: cocher la case correspondante.</w:t>
      </w:r>
    </w:p>
    <w:p w:rsidR="005D44DA" w:rsidRDefault="005D44DA" w:rsidP="005D44DA">
      <w:pPr>
        <w:spacing w:line="0" w:lineRule="atLeast"/>
        <w:rPr>
          <w:rFonts w:ascii="Garamond" w:eastAsia="Garamond" w:hAnsi="Garamond"/>
          <w:b/>
          <w:sz w:val="22"/>
        </w:rPr>
      </w:pPr>
    </w:p>
    <w:p w:rsidR="005D44DA" w:rsidRDefault="005D44DA" w:rsidP="005D44DA">
      <w:pPr>
        <w:spacing w:line="0" w:lineRule="atLeast"/>
        <w:rPr>
          <w:rFonts w:ascii="Garamond" w:eastAsia="Garamond" w:hAnsi="Garamond"/>
          <w:sz w:val="22"/>
        </w:rPr>
      </w:pPr>
      <w:r>
        <w:rPr>
          <w:rFonts w:ascii="Garamond" w:eastAsia="Garamond" w:hAnsi="Garamond"/>
          <w:b/>
          <w:sz w:val="22"/>
        </w:rPr>
        <w:t xml:space="preserve">Projet de greffe rénale </w:t>
      </w:r>
      <w:r>
        <w:rPr>
          <w:rFonts w:ascii="Garamond" w:eastAsia="Garamond" w:hAnsi="Garamond"/>
          <w:sz w:val="22"/>
        </w:rPr>
        <w:t>: cocher la case correspondante.</w:t>
      </w:r>
    </w:p>
    <w:p w:rsidR="00110BB3" w:rsidRDefault="00110BB3">
      <w:pPr>
        <w:spacing w:line="243" w:lineRule="exact"/>
        <w:rPr>
          <w:rFonts w:ascii="Times New Roman" w:eastAsia="Times New Roman" w:hAnsi="Times New Roman"/>
        </w:rPr>
      </w:pPr>
    </w:p>
    <w:p w:rsidR="00110BB3" w:rsidRDefault="00110BB3">
      <w:pPr>
        <w:spacing w:line="0" w:lineRule="atLeast"/>
        <w:ind w:left="700"/>
        <w:rPr>
          <w:rFonts w:ascii="Garamond" w:eastAsia="Garamond" w:hAnsi="Garamond"/>
          <w:b/>
          <w:sz w:val="22"/>
        </w:rPr>
      </w:pPr>
      <w:r>
        <w:rPr>
          <w:rFonts w:ascii="Garamond" w:eastAsia="Garamond" w:hAnsi="Garamond"/>
          <w:b/>
          <w:sz w:val="22"/>
        </w:rPr>
        <w:t>Greffe rénale</w:t>
      </w:r>
    </w:p>
    <w:p w:rsidR="00110BB3" w:rsidRDefault="00110BB3">
      <w:pPr>
        <w:spacing w:line="223"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Créatininémie </w:t>
      </w:r>
      <w:r>
        <w:rPr>
          <w:rFonts w:ascii="Garamond" w:eastAsia="Garamond" w:hAnsi="Garamond"/>
          <w:sz w:val="22"/>
        </w:rPr>
        <w:t>: préciser</w:t>
      </w:r>
      <w:r>
        <w:rPr>
          <w:rFonts w:ascii="Garamond" w:eastAsia="Garamond" w:hAnsi="Garamond"/>
          <w:b/>
          <w:sz w:val="22"/>
        </w:rPr>
        <w:t xml:space="preserve"> </w:t>
      </w:r>
      <w:r>
        <w:rPr>
          <w:rFonts w:ascii="Garamond" w:eastAsia="Garamond" w:hAnsi="Garamond"/>
          <w:sz w:val="22"/>
        </w:rPr>
        <w:t>la créatininémie (en mg/l) à l’inclusion ainsi que la date de réalisation du bilan.</w:t>
      </w:r>
    </w:p>
    <w:p w:rsidR="00110BB3" w:rsidRDefault="00110BB3">
      <w:pPr>
        <w:spacing w:line="275"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Lieu de la greffe </w:t>
      </w:r>
      <w:r>
        <w:rPr>
          <w:rFonts w:ascii="Garamond" w:eastAsia="Garamond" w:hAnsi="Garamond"/>
          <w:sz w:val="22"/>
        </w:rPr>
        <w:t>: préciser la ville et le pays.</w:t>
      </w:r>
    </w:p>
    <w:p w:rsidR="00110BB3" w:rsidRDefault="00110BB3">
      <w:pPr>
        <w:spacing w:line="249"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Type de greffe </w:t>
      </w:r>
      <w:r>
        <w:rPr>
          <w:rFonts w:ascii="Garamond" w:eastAsia="Garamond" w:hAnsi="Garamond"/>
          <w:sz w:val="22"/>
        </w:rPr>
        <w:t>: cocher la case correspondante.</w:t>
      </w:r>
    </w:p>
    <w:p w:rsidR="00110BB3" w:rsidRDefault="00110BB3">
      <w:pPr>
        <w:spacing w:line="247"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Sexe du donneur </w:t>
      </w:r>
      <w:r>
        <w:rPr>
          <w:rFonts w:ascii="Garamond" w:eastAsia="Garamond" w:hAnsi="Garamond"/>
          <w:sz w:val="22"/>
        </w:rPr>
        <w:t>: cocher la case correspondante.</w:t>
      </w:r>
    </w:p>
    <w:p w:rsidR="00110BB3" w:rsidRDefault="00110BB3">
      <w:pPr>
        <w:spacing w:line="219" w:lineRule="exact"/>
        <w:rPr>
          <w:rFonts w:ascii="Times New Roman" w:eastAsia="Times New Roman" w:hAnsi="Times New Roman"/>
        </w:rPr>
      </w:pPr>
    </w:p>
    <w:p w:rsidR="00110BB3" w:rsidRDefault="00110BB3">
      <w:pPr>
        <w:spacing w:line="0" w:lineRule="atLeast"/>
        <w:ind w:left="40"/>
        <w:rPr>
          <w:rFonts w:ascii="Garamond" w:eastAsia="Garamond" w:hAnsi="Garamond"/>
          <w:sz w:val="22"/>
        </w:rPr>
      </w:pPr>
      <w:r>
        <w:rPr>
          <w:rFonts w:ascii="Garamond" w:eastAsia="Garamond" w:hAnsi="Garamond"/>
          <w:b/>
          <w:sz w:val="22"/>
        </w:rPr>
        <w:t xml:space="preserve">Date de naissance du donneur </w:t>
      </w:r>
      <w:r>
        <w:rPr>
          <w:rFonts w:ascii="Garamond" w:eastAsia="Garamond" w:hAnsi="Garamond"/>
          <w:sz w:val="22"/>
        </w:rPr>
        <w:t>:</w:t>
      </w:r>
      <w:r>
        <w:rPr>
          <w:rFonts w:ascii="Garamond" w:eastAsia="Garamond" w:hAnsi="Garamond"/>
          <w:b/>
          <w:sz w:val="22"/>
        </w:rPr>
        <w:t xml:space="preserve"> </w:t>
      </w:r>
      <w:r>
        <w:rPr>
          <w:rFonts w:ascii="Garamond" w:eastAsia="Garamond" w:hAnsi="Garamond"/>
          <w:sz w:val="22"/>
        </w:rPr>
        <w:t>indiquer dans l’ordre le jour, le mois et l’année. En cas de données</w:t>
      </w:r>
    </w:p>
    <w:p w:rsidR="00110BB3" w:rsidRDefault="00110BB3">
      <w:pPr>
        <w:spacing w:line="64" w:lineRule="exact"/>
        <w:rPr>
          <w:rFonts w:ascii="Times New Roman" w:eastAsia="Times New Roman" w:hAnsi="Times New Roman"/>
        </w:rPr>
      </w:pPr>
    </w:p>
    <w:p w:rsidR="00110BB3" w:rsidRDefault="00110BB3">
      <w:pPr>
        <w:spacing w:line="222" w:lineRule="auto"/>
        <w:ind w:left="40"/>
        <w:rPr>
          <w:rFonts w:ascii="Garamond" w:eastAsia="Garamond" w:hAnsi="Garamond"/>
          <w:sz w:val="22"/>
        </w:rPr>
      </w:pPr>
      <w:r>
        <w:rPr>
          <w:rFonts w:ascii="Garamond" w:eastAsia="Garamond" w:hAnsi="Garamond"/>
          <w:sz w:val="22"/>
        </w:rPr>
        <w:t>inconnues : si seul le jour est manquant, mettre le 15 du mois ; si le jour et le mois sont manquants, mettre le 30-06.</w:t>
      </w:r>
    </w:p>
    <w:p w:rsidR="00110BB3" w:rsidRDefault="00110BB3">
      <w:pPr>
        <w:spacing w:line="200" w:lineRule="exact"/>
        <w:rPr>
          <w:rFonts w:ascii="Times New Roman" w:eastAsia="Times New Roman" w:hAnsi="Times New Roman"/>
        </w:rPr>
      </w:pPr>
    </w:p>
    <w:p w:rsidR="00110BB3" w:rsidRDefault="00110BB3">
      <w:pPr>
        <w:spacing w:line="279" w:lineRule="exact"/>
        <w:rPr>
          <w:rFonts w:ascii="Times New Roman" w:eastAsia="Times New Roman" w:hAnsi="Times New Roman"/>
        </w:rPr>
      </w:pPr>
    </w:p>
    <w:p w:rsidR="00110BB3" w:rsidRDefault="00110BB3">
      <w:pPr>
        <w:spacing w:line="0" w:lineRule="atLeast"/>
        <w:jc w:val="center"/>
        <w:rPr>
          <w:color w:val="C00000"/>
          <w:sz w:val="32"/>
        </w:rPr>
      </w:pPr>
      <w:r>
        <w:rPr>
          <w:color w:val="C00000"/>
          <w:sz w:val="32"/>
        </w:rPr>
        <w:t>FICHE « POINT ANNUEL »</w:t>
      </w:r>
    </w:p>
    <w:p w:rsidR="00110BB3" w:rsidRDefault="00110BB3">
      <w:pPr>
        <w:spacing w:line="247" w:lineRule="exact"/>
        <w:rPr>
          <w:rFonts w:ascii="Times New Roman" w:eastAsia="Times New Roman" w:hAnsi="Times New Roman"/>
        </w:rPr>
      </w:pPr>
    </w:p>
    <w:p w:rsidR="00110BB3" w:rsidRDefault="00110BB3">
      <w:pPr>
        <w:spacing w:line="0" w:lineRule="atLeast"/>
        <w:rPr>
          <w:rFonts w:ascii="Garamond" w:eastAsia="Garamond" w:hAnsi="Garamond"/>
          <w:color w:val="000000"/>
          <w:sz w:val="22"/>
        </w:rPr>
      </w:pPr>
      <w:r>
        <w:rPr>
          <w:b/>
          <w:color w:val="AD0101"/>
          <w:sz w:val="28"/>
        </w:rPr>
        <w:t xml:space="preserve">Date du point annuel </w:t>
      </w:r>
      <w:r>
        <w:rPr>
          <w:color w:val="AD0101"/>
          <w:sz w:val="28"/>
        </w:rPr>
        <w:t>:</w:t>
      </w:r>
      <w:r>
        <w:rPr>
          <w:b/>
          <w:color w:val="AD0101"/>
          <w:sz w:val="28"/>
        </w:rPr>
        <w:t xml:space="preserve"> </w:t>
      </w:r>
      <w:r>
        <w:rPr>
          <w:rFonts w:ascii="Garamond" w:eastAsia="Garamond" w:hAnsi="Garamond"/>
          <w:color w:val="000000"/>
          <w:sz w:val="22"/>
        </w:rPr>
        <w:t>indiquer dans l’ordre le jour, le mois et l’année</w:t>
      </w:r>
    </w:p>
    <w:p w:rsidR="00110BB3" w:rsidRDefault="00110BB3">
      <w:pPr>
        <w:spacing w:line="151"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Tous les items de la fiche « Déclaration initiale – 1</w:t>
      </w:r>
      <w:r>
        <w:rPr>
          <w:rFonts w:ascii="Garamond" w:eastAsia="Garamond" w:hAnsi="Garamond"/>
          <w:sz w:val="13"/>
        </w:rPr>
        <w:t>ère</w:t>
      </w:r>
      <w:r>
        <w:rPr>
          <w:rFonts w:ascii="Garamond" w:eastAsia="Garamond" w:hAnsi="Garamond"/>
          <w:sz w:val="22"/>
        </w:rPr>
        <w:t xml:space="preserve"> inclusion) sont repris lors du point annuel. Les consignes</w:t>
      </w:r>
    </w:p>
    <w:p w:rsidR="00110BB3" w:rsidRDefault="00110BB3">
      <w:pPr>
        <w:spacing w:line="150"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de codage sont les mêmes.</w:t>
      </w:r>
    </w:p>
    <w:p w:rsidR="00110BB3" w:rsidRDefault="00110BB3">
      <w:pPr>
        <w:spacing w:line="200" w:lineRule="exact"/>
        <w:rPr>
          <w:rFonts w:ascii="Times New Roman" w:eastAsia="Times New Roman" w:hAnsi="Times New Roman"/>
        </w:rPr>
      </w:pPr>
    </w:p>
    <w:p w:rsidR="00110BB3" w:rsidRDefault="00110BB3">
      <w:pPr>
        <w:spacing w:line="252" w:lineRule="exact"/>
        <w:rPr>
          <w:rFonts w:ascii="Times New Roman" w:eastAsia="Times New Roman" w:hAnsi="Times New Roman"/>
        </w:rPr>
      </w:pPr>
    </w:p>
    <w:p w:rsidR="00110BB3" w:rsidRDefault="00110BB3">
      <w:pPr>
        <w:spacing w:line="0" w:lineRule="atLeast"/>
        <w:jc w:val="center"/>
        <w:rPr>
          <w:color w:val="C00000"/>
          <w:sz w:val="32"/>
        </w:rPr>
      </w:pPr>
      <w:r>
        <w:rPr>
          <w:color w:val="C00000"/>
          <w:sz w:val="32"/>
        </w:rPr>
        <w:t>FICHE « CHANGEMENT DE TRAITEMENT »</w:t>
      </w:r>
    </w:p>
    <w:p w:rsidR="00110BB3" w:rsidRDefault="00110BB3">
      <w:pPr>
        <w:spacing w:line="200" w:lineRule="exact"/>
        <w:rPr>
          <w:rFonts w:ascii="Times New Roman" w:eastAsia="Times New Roman" w:hAnsi="Times New Roman"/>
        </w:rPr>
      </w:pPr>
    </w:p>
    <w:p w:rsidR="00110BB3" w:rsidRDefault="00110BB3">
      <w:pPr>
        <w:spacing w:line="222"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Contexte </w:t>
      </w:r>
      <w:r>
        <w:rPr>
          <w:rFonts w:ascii="Garamond" w:eastAsia="Garamond" w:hAnsi="Garamond"/>
          <w:sz w:val="22"/>
        </w:rPr>
        <w:t>: cocher la case correspondante.</w:t>
      </w:r>
    </w:p>
    <w:p w:rsidR="00110BB3" w:rsidRDefault="00110BB3">
      <w:pPr>
        <w:spacing w:line="86"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Les items « Identification du malade », « Centre de soins » et « Traitement actuel » sont repris lors du</w:t>
      </w:r>
    </w:p>
    <w:p w:rsidR="00110BB3" w:rsidRDefault="00110BB3">
      <w:pPr>
        <w:spacing w:line="86"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changement de traitement. Les consignes de codages sont les mêmes.</w:t>
      </w:r>
    </w:p>
    <w:p w:rsidR="00110BB3" w:rsidRDefault="00110BB3">
      <w:pPr>
        <w:spacing w:line="200" w:lineRule="exact"/>
        <w:rPr>
          <w:rFonts w:ascii="Times New Roman" w:eastAsia="Times New Roman" w:hAnsi="Times New Roman"/>
        </w:rPr>
      </w:pPr>
    </w:p>
    <w:p w:rsidR="00110BB3" w:rsidRDefault="00110BB3">
      <w:pPr>
        <w:spacing w:line="211" w:lineRule="exact"/>
        <w:rPr>
          <w:rFonts w:ascii="Times New Roman" w:eastAsia="Times New Roman" w:hAnsi="Times New Roman"/>
        </w:rPr>
      </w:pPr>
    </w:p>
    <w:p w:rsidR="00110BB3" w:rsidRDefault="00110BB3">
      <w:pPr>
        <w:spacing w:line="0" w:lineRule="atLeast"/>
        <w:jc w:val="center"/>
        <w:rPr>
          <w:color w:val="C00000"/>
          <w:sz w:val="32"/>
        </w:rPr>
      </w:pPr>
      <w:r>
        <w:rPr>
          <w:color w:val="C00000"/>
          <w:sz w:val="32"/>
        </w:rPr>
        <w:t>FICHE « DECES / TRANSFERT / SORTIE DE TRAITEMENT »</w:t>
      </w:r>
    </w:p>
    <w:p w:rsidR="00110BB3" w:rsidRDefault="00110BB3">
      <w:pPr>
        <w:spacing w:line="200" w:lineRule="exact"/>
        <w:rPr>
          <w:rFonts w:ascii="Times New Roman" w:eastAsia="Times New Roman" w:hAnsi="Times New Roman"/>
        </w:rPr>
      </w:pPr>
    </w:p>
    <w:p w:rsidR="00110BB3" w:rsidRDefault="00110BB3">
      <w:pPr>
        <w:spacing w:line="222"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Contexte </w:t>
      </w:r>
      <w:r>
        <w:rPr>
          <w:rFonts w:ascii="Garamond" w:eastAsia="Garamond" w:hAnsi="Garamond"/>
          <w:sz w:val="22"/>
        </w:rPr>
        <w:t>: cocher la case correspondante.</w:t>
      </w:r>
    </w:p>
    <w:p w:rsidR="00110BB3" w:rsidRDefault="00110BB3">
      <w:pPr>
        <w:spacing w:line="86"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Les items « Identification du malade » et « Centre de soins » sont repris lors du décès ou de la sortie de</w:t>
      </w:r>
    </w:p>
    <w:p w:rsidR="00110BB3" w:rsidRDefault="00110BB3">
      <w:pPr>
        <w:spacing w:line="86"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sz w:val="22"/>
        </w:rPr>
        <w:t>traitement. Les consignes de codages sont les mêmes.</w:t>
      </w:r>
    </w:p>
    <w:p w:rsidR="00110BB3" w:rsidRDefault="00110BB3">
      <w:pPr>
        <w:spacing w:line="88" w:lineRule="exact"/>
        <w:rPr>
          <w:rFonts w:ascii="Times New Roman" w:eastAsia="Times New Roman" w:hAnsi="Times New Roman"/>
        </w:rPr>
      </w:pPr>
    </w:p>
    <w:p w:rsidR="00110BB3" w:rsidRDefault="00110BB3">
      <w:pPr>
        <w:spacing w:line="0" w:lineRule="atLeast"/>
        <w:rPr>
          <w:rFonts w:ascii="Garamond" w:eastAsia="Garamond" w:hAnsi="Garamond"/>
          <w:sz w:val="22"/>
        </w:rPr>
      </w:pPr>
      <w:r>
        <w:rPr>
          <w:rFonts w:ascii="Garamond" w:eastAsia="Garamond" w:hAnsi="Garamond"/>
          <w:b/>
          <w:sz w:val="22"/>
        </w:rPr>
        <w:t xml:space="preserve">Evènements </w:t>
      </w:r>
      <w:r>
        <w:rPr>
          <w:rFonts w:ascii="Garamond" w:eastAsia="Garamond" w:hAnsi="Garamond"/>
          <w:sz w:val="22"/>
        </w:rPr>
        <w:t>:</w:t>
      </w:r>
    </w:p>
    <w:p w:rsidR="00110BB3" w:rsidRDefault="00110BB3">
      <w:pPr>
        <w:spacing w:line="58" w:lineRule="exact"/>
        <w:rPr>
          <w:rFonts w:ascii="Times New Roman" w:eastAsia="Times New Roman" w:hAnsi="Times New Roman"/>
        </w:rPr>
      </w:pPr>
    </w:p>
    <w:p w:rsidR="00110BB3" w:rsidRDefault="00110BB3">
      <w:pPr>
        <w:spacing w:line="0" w:lineRule="atLeast"/>
        <w:ind w:left="700"/>
        <w:rPr>
          <w:rFonts w:ascii="Garamond" w:eastAsia="Garamond" w:hAnsi="Garamond"/>
          <w:sz w:val="22"/>
        </w:rPr>
      </w:pPr>
      <w:r>
        <w:rPr>
          <w:rFonts w:ascii="Garamond" w:eastAsia="Garamond" w:hAnsi="Garamond"/>
          <w:sz w:val="22"/>
        </w:rPr>
        <w:t>1 – Transfert dans un autre centre</w:t>
      </w:r>
    </w:p>
    <w:p w:rsidR="00110BB3" w:rsidRDefault="00110BB3">
      <w:pPr>
        <w:spacing w:line="7" w:lineRule="exact"/>
        <w:rPr>
          <w:rFonts w:ascii="Times New Roman" w:eastAsia="Times New Roman" w:hAnsi="Times New Roman"/>
        </w:rPr>
      </w:pPr>
    </w:p>
    <w:p w:rsidR="00110BB3" w:rsidRDefault="00110BB3">
      <w:pPr>
        <w:spacing w:line="0" w:lineRule="atLeast"/>
        <w:ind w:left="700"/>
        <w:rPr>
          <w:rFonts w:ascii="Garamond" w:eastAsia="Garamond" w:hAnsi="Garamond"/>
          <w:sz w:val="22"/>
        </w:rPr>
      </w:pPr>
      <w:r>
        <w:rPr>
          <w:rFonts w:ascii="Garamond" w:eastAsia="Garamond" w:hAnsi="Garamond"/>
          <w:sz w:val="22"/>
        </w:rPr>
        <w:t>Date du transfert : indiquer dans l’ordre le jour, le mois et l’année. En cas de données inconnues : si</w:t>
      </w:r>
    </w:p>
    <w:p w:rsidR="00110BB3" w:rsidRDefault="00110BB3">
      <w:pPr>
        <w:spacing w:line="0" w:lineRule="atLeast"/>
        <w:ind w:left="700"/>
        <w:rPr>
          <w:rFonts w:ascii="Garamond" w:eastAsia="Garamond" w:hAnsi="Garamond"/>
          <w:sz w:val="22"/>
        </w:rPr>
      </w:pPr>
      <w:r>
        <w:rPr>
          <w:rFonts w:ascii="Garamond" w:eastAsia="Garamond" w:hAnsi="Garamond"/>
          <w:sz w:val="22"/>
        </w:rPr>
        <w:t>seul le jour est manquant, mettre le 15 du mois ; si le jour et le mois sont manquants, mettre le 30-06.</w:t>
      </w:r>
    </w:p>
    <w:p w:rsidR="00110BB3" w:rsidRDefault="00110BB3">
      <w:pPr>
        <w:spacing w:line="0" w:lineRule="atLeast"/>
        <w:ind w:left="700"/>
        <w:rPr>
          <w:rFonts w:ascii="Garamond" w:eastAsia="Garamond" w:hAnsi="Garamond"/>
          <w:sz w:val="22"/>
        </w:rPr>
      </w:pPr>
      <w:r>
        <w:rPr>
          <w:rFonts w:ascii="Garamond" w:eastAsia="Garamond" w:hAnsi="Garamond"/>
          <w:sz w:val="22"/>
        </w:rPr>
        <w:t>Destination : Centre d’accueil.</w:t>
      </w:r>
    </w:p>
    <w:p w:rsidR="00110BB3" w:rsidRDefault="00110BB3">
      <w:pPr>
        <w:spacing w:line="79" w:lineRule="exact"/>
        <w:rPr>
          <w:rFonts w:ascii="Times New Roman" w:eastAsia="Times New Roman" w:hAnsi="Times New Roman"/>
        </w:rPr>
      </w:pPr>
    </w:p>
    <w:p w:rsidR="00110BB3" w:rsidRDefault="00110BB3">
      <w:pPr>
        <w:spacing w:line="0" w:lineRule="atLeast"/>
        <w:ind w:left="700"/>
        <w:rPr>
          <w:rFonts w:ascii="Garamond" w:eastAsia="Garamond" w:hAnsi="Garamond"/>
          <w:sz w:val="22"/>
        </w:rPr>
      </w:pPr>
      <w:r>
        <w:rPr>
          <w:rFonts w:ascii="Garamond" w:eastAsia="Garamond" w:hAnsi="Garamond"/>
          <w:sz w:val="22"/>
        </w:rPr>
        <w:t>1 – Arrêt de la dialyse</w:t>
      </w:r>
    </w:p>
    <w:p w:rsidR="00110BB3" w:rsidRDefault="00110BB3">
      <w:pPr>
        <w:spacing w:line="86" w:lineRule="exact"/>
        <w:rPr>
          <w:rFonts w:ascii="Times New Roman" w:eastAsia="Times New Roman" w:hAnsi="Times New Roman"/>
        </w:rPr>
      </w:pPr>
    </w:p>
    <w:p w:rsidR="00110BB3" w:rsidRDefault="00110BB3">
      <w:pPr>
        <w:spacing w:line="0" w:lineRule="atLeast"/>
        <w:ind w:left="700"/>
        <w:rPr>
          <w:rFonts w:ascii="Garamond" w:eastAsia="Garamond" w:hAnsi="Garamond"/>
          <w:sz w:val="22"/>
        </w:rPr>
      </w:pPr>
      <w:r>
        <w:rPr>
          <w:rFonts w:ascii="Garamond" w:eastAsia="Garamond" w:hAnsi="Garamond"/>
          <w:sz w:val="22"/>
        </w:rPr>
        <w:t>Contexte de l’arrêt : cocher la case correspondante.</w:t>
      </w:r>
    </w:p>
    <w:p w:rsidR="00110BB3" w:rsidRDefault="00110BB3">
      <w:pPr>
        <w:spacing w:line="9" w:lineRule="exact"/>
        <w:rPr>
          <w:rFonts w:ascii="Times New Roman" w:eastAsia="Times New Roman" w:hAnsi="Times New Roman"/>
        </w:rPr>
      </w:pPr>
    </w:p>
    <w:p w:rsidR="00110BB3" w:rsidRDefault="00110BB3">
      <w:pPr>
        <w:spacing w:line="0" w:lineRule="atLeast"/>
        <w:ind w:left="700"/>
        <w:rPr>
          <w:rFonts w:ascii="Garamond" w:eastAsia="Garamond" w:hAnsi="Garamond"/>
          <w:sz w:val="22"/>
        </w:rPr>
      </w:pPr>
      <w:r>
        <w:rPr>
          <w:rFonts w:ascii="Garamond" w:eastAsia="Garamond" w:hAnsi="Garamond"/>
          <w:sz w:val="22"/>
        </w:rPr>
        <w:t>Préciser la créatininémie (en mg/l) à l’arrêt de la dialyse et le DFG selon MDRD.</w:t>
      </w:r>
    </w:p>
    <w:p w:rsidR="00110BB3" w:rsidRDefault="00110BB3">
      <w:pPr>
        <w:spacing w:line="247" w:lineRule="exact"/>
        <w:rPr>
          <w:rFonts w:ascii="Times New Roman" w:eastAsia="Times New Roman" w:hAnsi="Times New Roman"/>
        </w:rPr>
      </w:pPr>
    </w:p>
    <w:p w:rsidR="00110BB3" w:rsidRDefault="00110BB3">
      <w:pPr>
        <w:spacing w:line="0" w:lineRule="atLeast"/>
        <w:ind w:left="700"/>
        <w:rPr>
          <w:rFonts w:ascii="Garamond" w:eastAsia="Garamond" w:hAnsi="Garamond"/>
          <w:sz w:val="22"/>
        </w:rPr>
      </w:pPr>
      <w:r>
        <w:rPr>
          <w:rFonts w:ascii="Garamond" w:eastAsia="Garamond" w:hAnsi="Garamond"/>
          <w:sz w:val="22"/>
        </w:rPr>
        <w:t>2 – Décès</w:t>
      </w:r>
    </w:p>
    <w:p w:rsidR="00110BB3" w:rsidRDefault="00110BB3">
      <w:pPr>
        <w:spacing w:line="0" w:lineRule="atLeast"/>
        <w:ind w:left="700"/>
        <w:rPr>
          <w:rFonts w:ascii="Garamond" w:eastAsia="Garamond" w:hAnsi="Garamond"/>
          <w:sz w:val="22"/>
        </w:rPr>
        <w:sectPr w:rsidR="00110BB3">
          <w:pgSz w:w="11900" w:h="16838"/>
          <w:pgMar w:top="1440" w:right="1279" w:bottom="159" w:left="1140" w:header="0" w:footer="0" w:gutter="0"/>
          <w:cols w:space="0" w:equalWidth="0">
            <w:col w:w="9480"/>
          </w:cols>
          <w:docGrid w:linePitch="360"/>
        </w:sectPr>
      </w:pPr>
    </w:p>
    <w:p w:rsidR="00110BB3" w:rsidRDefault="00110BB3">
      <w:pPr>
        <w:spacing w:line="267" w:lineRule="auto"/>
        <w:ind w:left="400"/>
        <w:rPr>
          <w:rFonts w:ascii="Garamond" w:eastAsia="Garamond" w:hAnsi="Garamond"/>
          <w:sz w:val="22"/>
        </w:rPr>
      </w:pPr>
      <w:bookmarkStart w:id="10" w:name="page11"/>
      <w:bookmarkEnd w:id="10"/>
      <w:r>
        <w:rPr>
          <w:rFonts w:ascii="Garamond" w:eastAsia="Garamond" w:hAnsi="Garamond"/>
          <w:sz w:val="22"/>
        </w:rPr>
        <w:lastRenderedPageBreak/>
        <w:t>Date du décès : indiquer dans l’ordre le jour, le mois et l’année. En cas de données inconnues : si seul le jour est manquant, mettre le 15 du mois ; si le jour et le mois sont manquants, mettre le 30-06.</w:t>
      </w:r>
    </w:p>
    <w:p w:rsidR="00110BB3" w:rsidRDefault="00110BB3">
      <w:pPr>
        <w:spacing w:line="220" w:lineRule="exact"/>
        <w:rPr>
          <w:rFonts w:ascii="Times New Roman" w:eastAsia="Times New Roman" w:hAnsi="Times New Roman"/>
        </w:rPr>
      </w:pPr>
    </w:p>
    <w:p w:rsidR="00110BB3" w:rsidRDefault="00110BB3">
      <w:pPr>
        <w:spacing w:line="0" w:lineRule="atLeast"/>
        <w:ind w:left="400"/>
        <w:rPr>
          <w:rFonts w:ascii="Garamond" w:eastAsia="Garamond" w:hAnsi="Garamond"/>
          <w:sz w:val="22"/>
        </w:rPr>
      </w:pPr>
      <w:r>
        <w:rPr>
          <w:rFonts w:ascii="Garamond" w:eastAsia="Garamond" w:hAnsi="Garamond"/>
          <w:sz w:val="22"/>
        </w:rPr>
        <w:t>Lieu du décès : cocher la case indiquant la localisation du patient au moment du décès :</w:t>
      </w:r>
    </w:p>
    <w:p w:rsidR="00110BB3" w:rsidRDefault="00110BB3">
      <w:pPr>
        <w:spacing w:line="38" w:lineRule="exact"/>
        <w:rPr>
          <w:rFonts w:ascii="Times New Roman" w:eastAsia="Times New Roman" w:hAnsi="Times New Roman"/>
        </w:rPr>
      </w:pPr>
    </w:p>
    <w:p w:rsidR="00110BB3" w:rsidRDefault="00110BB3">
      <w:pPr>
        <w:spacing w:line="226" w:lineRule="auto"/>
        <w:ind w:left="400"/>
        <w:jc w:val="both"/>
        <w:rPr>
          <w:rFonts w:ascii="Garamond" w:eastAsia="Garamond" w:hAnsi="Garamond"/>
          <w:sz w:val="22"/>
        </w:rPr>
      </w:pPr>
      <w:r>
        <w:rPr>
          <w:rFonts w:ascii="Garamond" w:eastAsia="Garamond" w:hAnsi="Garamond"/>
          <w:sz w:val="22"/>
        </w:rPr>
        <w:t>hôpital/clinique, unité de dialyse ou de néphrologie, domicile, autre (à préciser en clair). En cas de décès pendant un transfert ou à l'arrivée dans un centre, cocher ‘autre’, de même lors d’un décès sur la</w:t>
      </w:r>
    </w:p>
    <w:p w:rsidR="00110BB3" w:rsidRDefault="00110BB3">
      <w:pPr>
        <w:spacing w:line="232" w:lineRule="auto"/>
        <w:ind w:left="400"/>
        <w:rPr>
          <w:rFonts w:ascii="Garamond" w:eastAsia="Garamond" w:hAnsi="Garamond"/>
          <w:sz w:val="22"/>
        </w:rPr>
      </w:pPr>
      <w:r>
        <w:rPr>
          <w:rFonts w:ascii="Garamond" w:eastAsia="Garamond" w:hAnsi="Garamond"/>
          <w:sz w:val="22"/>
        </w:rPr>
        <w:t>voie publique ou en maison de convalescence.</w:t>
      </w:r>
    </w:p>
    <w:p w:rsidR="00110BB3" w:rsidRDefault="00110BB3">
      <w:pPr>
        <w:spacing w:line="217" w:lineRule="exact"/>
        <w:rPr>
          <w:rFonts w:ascii="Times New Roman" w:eastAsia="Times New Roman" w:hAnsi="Times New Roman"/>
        </w:rPr>
      </w:pPr>
    </w:p>
    <w:p w:rsidR="00110BB3" w:rsidRDefault="00110BB3">
      <w:pPr>
        <w:spacing w:line="0" w:lineRule="atLeast"/>
        <w:ind w:left="400"/>
        <w:rPr>
          <w:rFonts w:ascii="Garamond" w:eastAsia="Garamond" w:hAnsi="Garamond"/>
          <w:sz w:val="22"/>
        </w:rPr>
      </w:pPr>
      <w:r>
        <w:rPr>
          <w:rFonts w:ascii="Garamond" w:eastAsia="Garamond" w:hAnsi="Garamond"/>
          <w:sz w:val="22"/>
        </w:rPr>
        <w:t>Cause du décès : d’une liste limitée de 50 codes (modification du 30 mai 2007). Si nécessaire, il est</w:t>
      </w:r>
    </w:p>
    <w:p w:rsidR="00110BB3" w:rsidRDefault="00110BB3">
      <w:pPr>
        <w:spacing w:line="61" w:lineRule="exact"/>
        <w:rPr>
          <w:rFonts w:ascii="Times New Roman" w:eastAsia="Times New Roman" w:hAnsi="Times New Roman"/>
        </w:rPr>
      </w:pPr>
    </w:p>
    <w:p w:rsidR="00110BB3" w:rsidRDefault="00110BB3">
      <w:pPr>
        <w:spacing w:line="234" w:lineRule="auto"/>
        <w:ind w:left="400" w:right="20"/>
        <w:jc w:val="both"/>
        <w:rPr>
          <w:rFonts w:ascii="Garamond" w:eastAsia="Garamond" w:hAnsi="Garamond"/>
          <w:sz w:val="22"/>
        </w:rPr>
      </w:pPr>
      <w:r>
        <w:rPr>
          <w:rFonts w:ascii="Garamond" w:eastAsia="Garamond" w:hAnsi="Garamond"/>
          <w:sz w:val="22"/>
        </w:rPr>
        <w:t>possible de code « autre » puis de renseigner un code de la Classification Internationale des Maladies CIM10. En cas de décision d’arrêt de dialyse, la cause principale de décès est la pathologie expliquant la décision d’interruption. L’insuffisance rénale chronique n’est pas une cause de décès en soi. Lorsqu’elle est directement à l’origine du décès, elle doit être rapportée indirectement par ses complications aiguës ou chroniques (ex : œdème aigu du poumon). De même, lorsqu’un patient décède en réanimation, ne pas coder ‘défaillance multiviscérale’ mais le motif principal d’admission en</w:t>
      </w:r>
    </w:p>
    <w:p w:rsidR="00110BB3" w:rsidRDefault="00110BB3">
      <w:pPr>
        <w:spacing w:line="31" w:lineRule="exact"/>
        <w:rPr>
          <w:rFonts w:ascii="Times New Roman" w:eastAsia="Times New Roman" w:hAnsi="Times New Roman"/>
        </w:rPr>
      </w:pPr>
    </w:p>
    <w:p w:rsidR="00110BB3" w:rsidRDefault="00110BB3">
      <w:pPr>
        <w:spacing w:line="222" w:lineRule="auto"/>
        <w:ind w:left="400" w:right="20"/>
        <w:jc w:val="both"/>
        <w:rPr>
          <w:rFonts w:ascii="Garamond" w:eastAsia="Garamond" w:hAnsi="Garamond"/>
          <w:sz w:val="22"/>
        </w:rPr>
      </w:pPr>
      <w:r>
        <w:rPr>
          <w:rFonts w:ascii="Garamond" w:eastAsia="Garamond" w:hAnsi="Garamond"/>
          <w:sz w:val="22"/>
        </w:rPr>
        <w:t>réanimation. Le décès par « mort naturelle » sera codé « cause inconnue » et non « arrêt cardiovasculaire » par exemple.</w:t>
      </w:r>
    </w:p>
    <w:p w:rsidR="00110BB3" w:rsidRDefault="00110BB3">
      <w:pPr>
        <w:spacing w:line="248" w:lineRule="exact"/>
        <w:rPr>
          <w:rFonts w:ascii="Times New Roman" w:eastAsia="Times New Roman" w:hAnsi="Times New Roman"/>
        </w:rPr>
      </w:pPr>
    </w:p>
    <w:p w:rsidR="00110BB3" w:rsidRDefault="00110BB3" w:rsidP="00C1015A">
      <w:pPr>
        <w:tabs>
          <w:tab w:val="left" w:pos="800"/>
          <w:tab w:val="left" w:pos="1880"/>
          <w:tab w:val="left" w:pos="2280"/>
          <w:tab w:val="left" w:pos="3420"/>
          <w:tab w:val="left" w:pos="4000"/>
          <w:tab w:val="left" w:pos="4460"/>
          <w:tab w:val="left" w:pos="4960"/>
          <w:tab w:val="left" w:pos="5360"/>
          <w:tab w:val="left" w:pos="6100"/>
          <w:tab w:val="left" w:pos="6880"/>
          <w:tab w:val="left" w:pos="7220"/>
          <w:tab w:val="left" w:pos="7760"/>
        </w:tabs>
        <w:spacing w:line="0" w:lineRule="atLeast"/>
        <w:ind w:left="400"/>
        <w:rPr>
          <w:rFonts w:ascii="Garamond" w:eastAsia="Garamond" w:hAnsi="Garamond"/>
          <w:sz w:val="22"/>
        </w:rPr>
        <w:sectPr w:rsidR="00110BB3">
          <w:pgSz w:w="11900" w:h="16838"/>
          <w:pgMar w:top="1411" w:right="1279" w:bottom="1440" w:left="1440" w:header="0" w:footer="0" w:gutter="0"/>
          <w:cols w:space="0" w:equalWidth="0">
            <w:col w:w="9180"/>
          </w:cols>
          <w:docGrid w:linePitch="360"/>
        </w:sectPr>
      </w:pPr>
      <w:r>
        <w:rPr>
          <w:rFonts w:ascii="Garamond" w:eastAsia="Garamond" w:hAnsi="Garamond"/>
          <w:sz w:val="22"/>
        </w:rPr>
        <w:t>Le</w:t>
      </w:r>
      <w:r>
        <w:rPr>
          <w:rFonts w:ascii="Garamond" w:eastAsia="Garamond" w:hAnsi="Garamond"/>
          <w:sz w:val="22"/>
        </w:rPr>
        <w:tab/>
        <w:t>traitement</w:t>
      </w:r>
      <w:r>
        <w:rPr>
          <w:rFonts w:ascii="Garamond" w:eastAsia="Garamond" w:hAnsi="Garamond"/>
          <w:sz w:val="22"/>
        </w:rPr>
        <w:tab/>
        <w:t>de</w:t>
      </w:r>
      <w:r>
        <w:rPr>
          <w:rFonts w:ascii="Garamond" w:eastAsia="Garamond" w:hAnsi="Garamond"/>
          <w:sz w:val="22"/>
        </w:rPr>
        <w:tab/>
        <w:t>suppléance</w:t>
      </w:r>
      <w:r>
        <w:rPr>
          <w:rFonts w:ascii="Garamond" w:eastAsia="Garamond" w:hAnsi="Garamond"/>
          <w:sz w:val="22"/>
        </w:rPr>
        <w:tab/>
        <w:t>a-t-il</w:t>
      </w:r>
      <w:r>
        <w:rPr>
          <w:rFonts w:ascii="Garamond" w:eastAsia="Garamond" w:hAnsi="Garamond"/>
          <w:sz w:val="22"/>
        </w:rPr>
        <w:tab/>
        <w:t>été</w:t>
      </w:r>
      <w:r>
        <w:rPr>
          <w:rFonts w:ascii="Garamond" w:eastAsia="Garamond" w:hAnsi="Garamond"/>
          <w:sz w:val="22"/>
        </w:rPr>
        <w:tab/>
        <w:t>mis</w:t>
      </w:r>
      <w:r>
        <w:rPr>
          <w:rFonts w:ascii="Garamond" w:eastAsia="Garamond" w:hAnsi="Garamond"/>
          <w:sz w:val="22"/>
        </w:rPr>
        <w:tab/>
        <w:t>en</w:t>
      </w:r>
      <w:r>
        <w:rPr>
          <w:rFonts w:ascii="Garamond" w:eastAsia="Garamond" w:hAnsi="Garamond"/>
          <w:sz w:val="22"/>
        </w:rPr>
        <w:tab/>
        <w:t>route :</w:t>
      </w:r>
      <w:r w:rsidR="00DC1D42">
        <w:rPr>
          <w:rFonts w:ascii="Garamond" w:eastAsia="Garamond" w:hAnsi="Garamond"/>
          <w:sz w:val="22"/>
        </w:rPr>
        <w:tab/>
        <w:t>cocher</w:t>
      </w:r>
      <w:r w:rsidR="00DC1D42">
        <w:rPr>
          <w:rFonts w:ascii="Garamond" w:eastAsia="Garamond" w:hAnsi="Garamond"/>
          <w:sz w:val="22"/>
        </w:rPr>
        <w:tab/>
        <w:t>la</w:t>
      </w:r>
      <w:r w:rsidR="00DC1D42">
        <w:rPr>
          <w:rFonts w:ascii="Garamond" w:eastAsia="Garamond" w:hAnsi="Garamond"/>
          <w:sz w:val="22"/>
        </w:rPr>
        <w:tab/>
        <w:t>case</w:t>
      </w:r>
      <w:r w:rsidR="00DC1D42">
        <w:rPr>
          <w:rFonts w:ascii="Garamond" w:eastAsia="Garamond" w:hAnsi="Garamond"/>
          <w:sz w:val="22"/>
        </w:rPr>
        <w:tab/>
        <w:t>correspondante.</w:t>
      </w:r>
    </w:p>
    <w:p w:rsidR="00110BB3" w:rsidRDefault="00110BB3" w:rsidP="00DC1D42">
      <w:pPr>
        <w:tabs>
          <w:tab w:val="left" w:pos="800"/>
          <w:tab w:val="left" w:pos="1880"/>
          <w:tab w:val="left" w:pos="2280"/>
          <w:tab w:val="left" w:pos="3420"/>
          <w:tab w:val="left" w:pos="4000"/>
          <w:tab w:val="left" w:pos="4460"/>
          <w:tab w:val="left" w:pos="4960"/>
          <w:tab w:val="left" w:pos="5360"/>
          <w:tab w:val="left" w:pos="6100"/>
          <w:tab w:val="left" w:pos="6880"/>
          <w:tab w:val="left" w:pos="7220"/>
          <w:tab w:val="left" w:pos="7760"/>
        </w:tabs>
        <w:spacing w:line="0" w:lineRule="atLeast"/>
        <w:rPr>
          <w:rFonts w:ascii="Times New Roman" w:eastAsia="Times New Roman" w:hAnsi="Times New Roman"/>
        </w:rPr>
      </w:pPr>
      <w:bookmarkStart w:id="11" w:name="page12"/>
      <w:bookmarkEnd w:id="11"/>
    </w:p>
    <w:sectPr w:rsidR="00110BB3">
      <w:pgSz w:w="11900" w:h="16838"/>
      <w:pgMar w:top="1440" w:right="1440" w:bottom="875" w:left="1440" w:header="0"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BB4" w:rsidRDefault="00385BB4" w:rsidP="00DC1D42">
      <w:r>
        <w:separator/>
      </w:r>
    </w:p>
  </w:endnote>
  <w:endnote w:type="continuationSeparator" w:id="0">
    <w:p w:rsidR="00385BB4" w:rsidRDefault="00385BB4" w:rsidP="00DC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42" w:rsidRDefault="00DC1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42" w:rsidRDefault="00DC1D42">
    <w:pPr>
      <w:pStyle w:val="Footer"/>
      <w:jc w:val="right"/>
    </w:pPr>
    <w:r>
      <w:fldChar w:fldCharType="begin"/>
    </w:r>
    <w:r>
      <w:instrText>PAGE   \* MERGEFORMAT</w:instrText>
    </w:r>
    <w:r>
      <w:fldChar w:fldCharType="separate"/>
    </w:r>
    <w:r w:rsidR="00BF7BDA">
      <w:rPr>
        <w:noProof/>
      </w:rPr>
      <w:t>1</w:t>
    </w:r>
    <w:r>
      <w:fldChar w:fldCharType="end"/>
    </w:r>
  </w:p>
  <w:p w:rsidR="00DC1D42" w:rsidRDefault="00DC1D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42" w:rsidRDefault="00DC1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BB4" w:rsidRDefault="00385BB4" w:rsidP="00DC1D42">
      <w:r>
        <w:separator/>
      </w:r>
    </w:p>
  </w:footnote>
  <w:footnote w:type="continuationSeparator" w:id="0">
    <w:p w:rsidR="00385BB4" w:rsidRDefault="00385BB4" w:rsidP="00DC1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42" w:rsidRDefault="00DC1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42" w:rsidRDefault="00DC1D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42" w:rsidRDefault="00DC1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190CDE6"/>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66EF438C"/>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40E0F7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3352255A"/>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109CF92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0DED726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7FDCC23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1BEFD79E"/>
    <w:lvl w:ilvl="0">
      <w:start w:val="2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41A7C4C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0F6859A6"/>
    <w:lvl w:ilvl="0">
      <w:start w:val="1"/>
      <w:numFmt w:val="bullet"/>
      <w:lvlText w:val="C"/>
      <w:lvlJc w:val="left"/>
      <w:rPr>
        <w:b/>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4E6AFB66"/>
    <w:lvl w:ilvl="0">
      <w:start w:val="1"/>
      <w:numFmt w:val="bullet"/>
      <w:lvlText w:val="à"/>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25E45D32"/>
    <w:lvl w:ilvl="0">
      <w:start w:val="1"/>
      <w:numFmt w:val="bullet"/>
      <w:lvlText w:val="O"/>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519B500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431BD7B6"/>
    <w:lvl w:ilvl="0">
      <w:start w:val="1"/>
      <w:numFmt w:val="bullet"/>
      <w:lvlText w:val="O"/>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3F2DBA30"/>
    <w:lvl w:ilvl="0">
      <w:start w:val="1"/>
      <w:numFmt w:val="bullet"/>
      <w:lvlText w:val="O"/>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7C83E458"/>
    <w:lvl w:ilvl="0">
      <w:start w:val="1"/>
      <w:numFmt w:val="bullet"/>
      <w:lvlText w:val="O"/>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257130A2"/>
    <w:lvl w:ilvl="0">
      <w:start w:val="1"/>
      <w:numFmt w:val="bullet"/>
      <w:lvlText w:val="O"/>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62BBD95A"/>
    <w:lvl w:ilvl="0">
      <w:start w:val="1"/>
      <w:numFmt w:val="bullet"/>
      <w:lvlText w:val="O"/>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436C612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628C89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333AB1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721DA31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AC"/>
    <w:rsid w:val="00110BB3"/>
    <w:rsid w:val="00171B0B"/>
    <w:rsid w:val="001A29AC"/>
    <w:rsid w:val="003606D6"/>
    <w:rsid w:val="00385BB4"/>
    <w:rsid w:val="00512741"/>
    <w:rsid w:val="005D44DA"/>
    <w:rsid w:val="006976D9"/>
    <w:rsid w:val="00A76432"/>
    <w:rsid w:val="00BF7BDA"/>
    <w:rsid w:val="00C1015A"/>
    <w:rsid w:val="00C43612"/>
    <w:rsid w:val="00DA59D3"/>
    <w:rsid w:val="00DB0A7B"/>
    <w:rsid w:val="00DC1D42"/>
    <w:rsid w:val="00F34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D31F55-95F5-43A3-950A-BF3CF473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styleId="Hyperlink">
    <w:name w:val="Hyperlink"/>
    <w:uiPriority w:val="99"/>
    <w:unhideWhenUsed/>
    <w:rsid w:val="00DB0A7B"/>
    <w:rPr>
      <w:color w:val="0563C1"/>
      <w:u w:val="single"/>
    </w:rPr>
  </w:style>
  <w:style w:type="paragraph" w:styleId="Header">
    <w:name w:val="header"/>
    <w:basedOn w:val="Normal"/>
    <w:link w:val="HeaderChar"/>
    <w:uiPriority w:val="99"/>
    <w:unhideWhenUsed/>
    <w:rsid w:val="00DC1D42"/>
    <w:pPr>
      <w:tabs>
        <w:tab w:val="center" w:pos="4536"/>
        <w:tab w:val="right" w:pos="9072"/>
      </w:tabs>
    </w:pPr>
  </w:style>
  <w:style w:type="character" w:customStyle="1" w:styleId="HeaderChar">
    <w:name w:val="Header Char"/>
    <w:basedOn w:val="DefaultParagraphFont"/>
    <w:link w:val="Header"/>
    <w:uiPriority w:val="99"/>
    <w:rsid w:val="00DC1D42"/>
  </w:style>
  <w:style w:type="paragraph" w:styleId="Footer">
    <w:name w:val="footer"/>
    <w:basedOn w:val="Normal"/>
    <w:link w:val="FooterChar"/>
    <w:uiPriority w:val="99"/>
    <w:unhideWhenUsed/>
    <w:rsid w:val="00DC1D42"/>
    <w:pPr>
      <w:tabs>
        <w:tab w:val="center" w:pos="4536"/>
        <w:tab w:val="right" w:pos="9072"/>
      </w:tabs>
    </w:pPr>
  </w:style>
  <w:style w:type="character" w:customStyle="1" w:styleId="FooterChar">
    <w:name w:val="Footer Char"/>
    <w:basedOn w:val="DefaultParagraphFont"/>
    <w:link w:val="Footer"/>
    <w:uiPriority w:val="99"/>
    <w:rsid w:val="00DC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inephweb.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neph@yahoo.f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4659</Words>
  <Characters>26559</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31156</CharactersWithSpaces>
  <SharedDoc>false</SharedDoc>
  <HLinks>
    <vt:vector size="12" baseType="variant">
      <vt:variant>
        <vt:i4>1900598</vt:i4>
      </vt:variant>
      <vt:variant>
        <vt:i4>3</vt:i4>
      </vt:variant>
      <vt:variant>
        <vt:i4>0</vt:i4>
      </vt:variant>
      <vt:variant>
        <vt:i4>5</vt:i4>
      </vt:variant>
      <vt:variant>
        <vt:lpwstr>mailto:sineph@yahoo.fr</vt:lpwstr>
      </vt:variant>
      <vt:variant>
        <vt:lpwstr/>
      </vt:variant>
      <vt:variant>
        <vt:i4>7340124</vt:i4>
      </vt:variant>
      <vt:variant>
        <vt:i4>0</vt:i4>
      </vt:variant>
      <vt:variant>
        <vt:i4>0</vt:i4>
      </vt:variant>
      <vt:variant>
        <vt:i4>5</vt:i4>
      </vt:variant>
      <vt:variant>
        <vt:lpwstr>mailto:info@sinephweb.org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MOUDACHIROU</dc:creator>
  <cp:keywords/>
  <cp:lastModifiedBy>Aïcha Traoré</cp:lastModifiedBy>
  <cp:revision>2</cp:revision>
  <dcterms:created xsi:type="dcterms:W3CDTF">2020-05-06T21:08:00Z</dcterms:created>
  <dcterms:modified xsi:type="dcterms:W3CDTF">2020-05-06T21:08:00Z</dcterms:modified>
</cp:coreProperties>
</file>